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DF0A" w14:textId="52C6021A" w:rsidR="02A14BB3" w:rsidRDefault="00780F68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CBD69FE" wp14:editId="114B8996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016899" cy="1062980"/>
            <wp:effectExtent l="0" t="0" r="0" b="4445"/>
            <wp:wrapTight wrapText="bothSides">
              <wp:wrapPolygon edited="0">
                <wp:start x="0" y="0"/>
                <wp:lineTo x="0" y="21303"/>
                <wp:lineTo x="21047" y="21303"/>
                <wp:lineTo x="21047" y="0"/>
                <wp:lineTo x="0" y="0"/>
              </wp:wrapPolygon>
            </wp:wrapTight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538715-89D0-49B3-92FA-0F33BEA0ED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99" cy="10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AB332" w14:textId="78808C54" w:rsidR="4F38138C" w:rsidRDefault="4F38138C"/>
    <w:p w14:paraId="35D67EC2" w14:textId="6DE7135E" w:rsidR="001E689E" w:rsidRDefault="40F9A601">
      <w:r>
        <w:t xml:space="preserve">Lead Officer </w:t>
      </w:r>
      <w:r w:rsidR="1D0CA8FE">
        <w:t>Update</w:t>
      </w:r>
      <w:r w:rsidR="251C1BBA">
        <w:t xml:space="preserve"> </w:t>
      </w:r>
      <w:r w:rsidR="2B7385C6">
        <w:t>J</w:t>
      </w:r>
      <w:r w:rsidR="33D0B0ED">
        <w:t xml:space="preserve">ANUARY-MAY </w:t>
      </w:r>
      <w:r w:rsidR="57B994AF">
        <w:t>202</w:t>
      </w:r>
      <w:r w:rsidR="0B2B3E1D">
        <w:t>6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470"/>
        <w:gridCol w:w="2500"/>
        <w:gridCol w:w="3485"/>
      </w:tblGrid>
      <w:tr w:rsidR="02A14BB3" w14:paraId="73BDE971" w14:textId="77777777" w:rsidTr="57EEB538">
        <w:trPr>
          <w:trHeight w:val="300"/>
        </w:trPr>
        <w:tc>
          <w:tcPr>
            <w:tcW w:w="6970" w:type="dxa"/>
            <w:gridSpan w:val="2"/>
          </w:tcPr>
          <w:p w14:paraId="792DE7FB" w14:textId="7055D4E1" w:rsidR="3E2B4D18" w:rsidRDefault="48C72F5B" w:rsidP="02A14BB3">
            <w:pPr>
              <w:rPr>
                <w:b/>
                <w:bCs/>
              </w:rPr>
            </w:pPr>
            <w:r w:rsidRPr="57EEB538">
              <w:rPr>
                <w:b/>
                <w:bCs/>
              </w:rPr>
              <w:t>S</w:t>
            </w:r>
            <w:r w:rsidR="2106DD37" w:rsidRPr="57EEB538">
              <w:rPr>
                <w:b/>
                <w:bCs/>
              </w:rPr>
              <w:t>ummary of working hours</w:t>
            </w:r>
            <w:r w:rsidR="0A9E5F2A" w:rsidRPr="57EEB538">
              <w:rPr>
                <w:b/>
                <w:bCs/>
              </w:rPr>
              <w:t xml:space="preserve"> </w:t>
            </w:r>
            <w:r w:rsidR="2CC56A35" w:rsidRPr="57EEB538">
              <w:rPr>
                <w:b/>
                <w:bCs/>
              </w:rPr>
              <w:t xml:space="preserve">to </w:t>
            </w:r>
            <w:r w:rsidR="10D7A505" w:rsidRPr="57EEB538">
              <w:rPr>
                <w:b/>
                <w:bCs/>
              </w:rPr>
              <w:t xml:space="preserve">end May </w:t>
            </w:r>
            <w:r w:rsidR="2CC56A35" w:rsidRPr="57EEB538">
              <w:rPr>
                <w:b/>
                <w:bCs/>
              </w:rPr>
              <w:t>date 2026</w:t>
            </w:r>
          </w:p>
        </w:tc>
        <w:tc>
          <w:tcPr>
            <w:tcW w:w="3485" w:type="dxa"/>
          </w:tcPr>
          <w:p w14:paraId="2B49D935" w14:textId="2A1B6722" w:rsidR="255980EC" w:rsidRDefault="3C3D72B0" w:rsidP="02A14BB3">
            <w:r w:rsidRPr="3208EDED">
              <w:rPr>
                <w:b/>
                <w:bCs/>
              </w:rPr>
              <w:t xml:space="preserve">Hours </w:t>
            </w:r>
            <w:r w:rsidRPr="22D0BC89">
              <w:rPr>
                <w:b/>
                <w:bCs/>
              </w:rPr>
              <w:t>Balance</w:t>
            </w:r>
          </w:p>
        </w:tc>
      </w:tr>
      <w:tr w:rsidR="0EC2F5B6" w14:paraId="418AB7DE" w14:textId="77777777" w:rsidTr="0EC2F5B6">
        <w:trPr>
          <w:trHeight w:val="300"/>
        </w:trPr>
        <w:tc>
          <w:tcPr>
            <w:tcW w:w="4470" w:type="dxa"/>
          </w:tcPr>
          <w:p w14:paraId="343E8067" w14:textId="19EC1696" w:rsidR="549BB7B0" w:rsidRDefault="549BB7B0" w:rsidP="0EC2F5B6">
            <w:r>
              <w:t>Annual Expected Hours @ 14hrs/week</w:t>
            </w:r>
          </w:p>
        </w:tc>
        <w:tc>
          <w:tcPr>
            <w:tcW w:w="2500" w:type="dxa"/>
          </w:tcPr>
          <w:p w14:paraId="15D7772C" w14:textId="427D6ABB" w:rsidR="549BB7B0" w:rsidRDefault="549BB7B0" w:rsidP="0EC2F5B6">
            <w:r>
              <w:t>616</w:t>
            </w:r>
          </w:p>
        </w:tc>
        <w:tc>
          <w:tcPr>
            <w:tcW w:w="3485" w:type="dxa"/>
          </w:tcPr>
          <w:p w14:paraId="1DA2E5B9" w14:textId="1D0C5266" w:rsidR="0EC2F5B6" w:rsidRDefault="0EC2F5B6" w:rsidP="0EC2F5B6"/>
        </w:tc>
      </w:tr>
      <w:tr w:rsidR="02A14BB3" w14:paraId="25D42752" w14:textId="77777777" w:rsidTr="57EEB538">
        <w:trPr>
          <w:trHeight w:val="300"/>
        </w:trPr>
        <w:tc>
          <w:tcPr>
            <w:tcW w:w="4470" w:type="dxa"/>
          </w:tcPr>
          <w:p w14:paraId="16F29A22" w14:textId="58E3CFAB" w:rsidR="0527988C" w:rsidRDefault="549BB7B0" w:rsidP="02A14BB3">
            <w:r>
              <w:t xml:space="preserve">To </w:t>
            </w:r>
            <w:r w:rsidR="006F36CA">
              <w:t>3</w:t>
            </w:r>
            <w:r w:rsidR="00055949">
              <w:t>1/5/26 =</w:t>
            </w:r>
            <w:r>
              <w:t xml:space="preserve"> </w:t>
            </w:r>
            <w:r w:rsidR="22F99B16">
              <w:t>21</w:t>
            </w:r>
            <w:r w:rsidR="2106DD37">
              <w:t xml:space="preserve"> weeks @ 14hrs/week</w:t>
            </w:r>
          </w:p>
        </w:tc>
        <w:tc>
          <w:tcPr>
            <w:tcW w:w="2500" w:type="dxa"/>
          </w:tcPr>
          <w:p w14:paraId="014E6F77" w14:textId="2F3E3381" w:rsidR="16173F83" w:rsidRDefault="47B95A35" w:rsidP="02A14BB3">
            <w:r>
              <w:t>294</w:t>
            </w:r>
            <w:r w:rsidR="13B82FF3">
              <w:t xml:space="preserve"> </w:t>
            </w:r>
          </w:p>
        </w:tc>
        <w:tc>
          <w:tcPr>
            <w:tcW w:w="3485" w:type="dxa"/>
          </w:tcPr>
          <w:p w14:paraId="382F2F5F" w14:textId="2FFEAC01" w:rsidR="02A14BB3" w:rsidRDefault="02A14BB3" w:rsidP="02A14BB3"/>
        </w:tc>
      </w:tr>
      <w:tr w:rsidR="02A14BB3" w14:paraId="4E819C32" w14:textId="77777777" w:rsidTr="57EEB538">
        <w:trPr>
          <w:trHeight w:val="300"/>
        </w:trPr>
        <w:tc>
          <w:tcPr>
            <w:tcW w:w="4470" w:type="dxa"/>
          </w:tcPr>
          <w:p w14:paraId="0F1A716D" w14:textId="08D2DA20" w:rsidR="74BC4809" w:rsidRDefault="74BC4809" w:rsidP="02A14BB3">
            <w:r>
              <w:t>Actual hours worked</w:t>
            </w:r>
          </w:p>
        </w:tc>
        <w:tc>
          <w:tcPr>
            <w:tcW w:w="2500" w:type="dxa"/>
          </w:tcPr>
          <w:p w14:paraId="348F5D08" w14:textId="48D686A1" w:rsidR="74BC4809" w:rsidRDefault="31EB21D4" w:rsidP="02A14BB3">
            <w:r>
              <w:t>2</w:t>
            </w:r>
            <w:r w:rsidR="00B875FE">
              <w:t>85</w:t>
            </w:r>
          </w:p>
        </w:tc>
        <w:tc>
          <w:tcPr>
            <w:tcW w:w="3485" w:type="dxa"/>
          </w:tcPr>
          <w:p w14:paraId="11EF6455" w14:textId="2FFEAC01" w:rsidR="02A14BB3" w:rsidRDefault="02A14BB3" w:rsidP="02A14BB3"/>
        </w:tc>
      </w:tr>
      <w:tr w:rsidR="02A14BB3" w14:paraId="4A586942" w14:textId="77777777" w:rsidTr="57EEB538">
        <w:trPr>
          <w:trHeight w:val="300"/>
        </w:trPr>
        <w:tc>
          <w:tcPr>
            <w:tcW w:w="4470" w:type="dxa"/>
          </w:tcPr>
          <w:p w14:paraId="448813C4" w14:textId="7619B697" w:rsidR="74BC4809" w:rsidRDefault="31EB21D4" w:rsidP="02A14BB3">
            <w:r>
              <w:t>+/-</w:t>
            </w:r>
          </w:p>
        </w:tc>
        <w:tc>
          <w:tcPr>
            <w:tcW w:w="2500" w:type="dxa"/>
          </w:tcPr>
          <w:p w14:paraId="28FF5FFB" w14:textId="0E833414" w:rsidR="79B2D977" w:rsidRDefault="31EB21D4" w:rsidP="02A14BB3">
            <w:r>
              <w:t>-</w:t>
            </w:r>
            <w:r w:rsidR="00AB4CA7">
              <w:t>9</w:t>
            </w:r>
          </w:p>
        </w:tc>
        <w:tc>
          <w:tcPr>
            <w:tcW w:w="3485" w:type="dxa"/>
          </w:tcPr>
          <w:p w14:paraId="4E72A944" w14:textId="5A467234" w:rsidR="1FAEC829" w:rsidRDefault="1FAEC829" w:rsidP="02A14BB3"/>
        </w:tc>
      </w:tr>
      <w:tr w:rsidR="02A14BB3" w14:paraId="1E3E5232" w14:textId="77777777" w:rsidTr="57EEB538">
        <w:trPr>
          <w:trHeight w:val="300"/>
        </w:trPr>
        <w:tc>
          <w:tcPr>
            <w:tcW w:w="4470" w:type="dxa"/>
          </w:tcPr>
          <w:p w14:paraId="47527618" w14:textId="05630496" w:rsidR="79B2D977" w:rsidRDefault="78D7472E" w:rsidP="02A14BB3">
            <w:r>
              <w:t>Excess hours carried forward from 202</w:t>
            </w:r>
            <w:r w:rsidR="45FCAFFF">
              <w:t>5</w:t>
            </w:r>
          </w:p>
        </w:tc>
        <w:tc>
          <w:tcPr>
            <w:tcW w:w="2500" w:type="dxa"/>
          </w:tcPr>
          <w:p w14:paraId="04ED82A8" w14:textId="3429B221" w:rsidR="79B2D977" w:rsidRDefault="7DE1DC45" w:rsidP="02A14BB3">
            <w:r>
              <w:t>+</w:t>
            </w:r>
            <w:r w:rsidR="45FCAFFF">
              <w:t>38.75</w:t>
            </w:r>
          </w:p>
        </w:tc>
        <w:tc>
          <w:tcPr>
            <w:tcW w:w="3485" w:type="dxa"/>
          </w:tcPr>
          <w:p w14:paraId="4210F54C" w14:textId="12B68E8D" w:rsidR="45862435" w:rsidRDefault="65E0A672" w:rsidP="02A14BB3">
            <w:r>
              <w:t>+</w:t>
            </w:r>
            <w:r w:rsidR="36A41337">
              <w:t>23.75</w:t>
            </w:r>
          </w:p>
        </w:tc>
      </w:tr>
    </w:tbl>
    <w:p w14:paraId="6508A3AD" w14:textId="03380CF5" w:rsidR="001E689E" w:rsidRDefault="001E689E" w:rsidP="02A14BB3">
      <w:pPr>
        <w:spacing w:after="0"/>
      </w:pPr>
    </w:p>
    <w:p w14:paraId="7E74CBDB" w14:textId="15F84FEE" w:rsidR="001E689E" w:rsidRDefault="36A41337" w:rsidP="12D28AB7">
      <w:pPr>
        <w:spacing w:line="240" w:lineRule="auto"/>
      </w:pPr>
      <w:r>
        <w:t>Holiday in April reduced hours worked.</w:t>
      </w:r>
    </w:p>
    <w:p w14:paraId="141EBBAA" w14:textId="4D1254CB" w:rsidR="001E689E" w:rsidRDefault="36A41337" w:rsidP="12D28AB7">
      <w:pPr>
        <w:spacing w:after="0" w:line="240" w:lineRule="auto"/>
      </w:pPr>
      <w:r>
        <w:t xml:space="preserve">Time taken off in January </w:t>
      </w:r>
      <w:r w:rsidR="080E4305">
        <w:t>&amp; May</w:t>
      </w:r>
      <w:r>
        <w:t xml:space="preserve"> for family bereavement</w:t>
      </w:r>
      <w:r w:rsidR="50D7C970">
        <w:t>.</w:t>
      </w:r>
    </w:p>
    <w:p w14:paraId="7324955D" w14:textId="26A6EAB8" w:rsidR="0E771531" w:rsidRDefault="0E771531" w:rsidP="0E771531">
      <w:pPr>
        <w:spacing w:after="0" w:line="240" w:lineRule="auto"/>
      </w:pPr>
    </w:p>
    <w:p w14:paraId="282DC058" w14:textId="269E71FF" w:rsidR="001E689E" w:rsidRDefault="0DAB4EDA" w:rsidP="57EEB538">
      <w:pPr>
        <w:spacing w:after="0"/>
        <w:jc w:val="center"/>
      </w:pPr>
      <w:r>
        <w:rPr>
          <w:noProof/>
        </w:rPr>
        <w:drawing>
          <wp:inline distT="0" distB="0" distL="0" distR="0" wp14:anchorId="58D4A0AB" wp14:editId="646AADF1">
            <wp:extent cx="4639056" cy="3089271"/>
            <wp:effectExtent l="0" t="0" r="0" b="0"/>
            <wp:docPr id="2000033895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17AE1FDB-C049-4512-AB4A-7B91EA9758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33895" name="Picture 20000338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564" cy="30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1365" w14:textId="4BFB5D6C" w:rsidR="5B07DC10" w:rsidRDefault="5B07DC10" w:rsidP="5B07DC10">
      <w:pPr>
        <w:spacing w:after="0"/>
        <w:jc w:val="center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91"/>
        <w:gridCol w:w="2091"/>
        <w:gridCol w:w="2091"/>
        <w:gridCol w:w="2091"/>
        <w:gridCol w:w="2091"/>
      </w:tblGrid>
      <w:tr w:rsidR="02A14BB3" w14:paraId="1A0A5FE6" w14:textId="77777777" w:rsidTr="398ACE76">
        <w:trPr>
          <w:trHeight w:val="300"/>
        </w:trPr>
        <w:tc>
          <w:tcPr>
            <w:tcW w:w="10455" w:type="dxa"/>
            <w:gridSpan w:val="5"/>
          </w:tcPr>
          <w:p w14:paraId="42B2991E" w14:textId="3DDAE059" w:rsidR="272E8CDB" w:rsidRDefault="051EF911" w:rsidP="5B07DC10">
            <w:pPr>
              <w:jc w:val="center"/>
              <w:rPr>
                <w:b/>
                <w:bCs/>
              </w:rPr>
            </w:pPr>
            <w:r w:rsidRPr="385DCB0A">
              <w:rPr>
                <w:b/>
                <w:bCs/>
              </w:rPr>
              <w:t xml:space="preserve">Lead Officer </w:t>
            </w:r>
            <w:r w:rsidR="3ADBB76D" w:rsidRPr="74C47EEE">
              <w:rPr>
                <w:b/>
                <w:bCs/>
              </w:rPr>
              <w:t xml:space="preserve">time </w:t>
            </w:r>
            <w:r w:rsidR="3ADBB76D" w:rsidRPr="50B4A915">
              <w:rPr>
                <w:b/>
                <w:bCs/>
              </w:rPr>
              <w:t xml:space="preserve">on </w:t>
            </w:r>
            <w:r w:rsidR="3ADBB76D" w:rsidRPr="68677D03">
              <w:rPr>
                <w:b/>
                <w:bCs/>
              </w:rPr>
              <w:t>projects</w:t>
            </w:r>
          </w:p>
        </w:tc>
      </w:tr>
      <w:tr w:rsidR="02A14BB3" w14:paraId="5E72E187" w14:textId="77777777" w:rsidTr="398ACE76">
        <w:trPr>
          <w:trHeight w:val="300"/>
        </w:trPr>
        <w:tc>
          <w:tcPr>
            <w:tcW w:w="2091" w:type="dxa"/>
          </w:tcPr>
          <w:p w14:paraId="220212FD" w14:textId="1E57DC70" w:rsidR="02A14BB3" w:rsidRDefault="72D591F1" w:rsidP="18BE9288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Membership</w:t>
            </w:r>
          </w:p>
          <w:p w14:paraId="6E1B2518" w14:textId="5177F5EA" w:rsidR="02A14BB3" w:rsidRDefault="02A14BB3" w:rsidP="18BE9288">
            <w:pPr>
              <w:jc w:val="center"/>
              <w:rPr>
                <w:b/>
                <w:bCs/>
              </w:rPr>
            </w:pPr>
          </w:p>
          <w:p w14:paraId="4120F335" w14:textId="1176BE3B" w:rsidR="02A14BB3" w:rsidRDefault="71D92C55" w:rsidP="5B07DC10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3</w:t>
            </w:r>
            <w:r w:rsidR="00287691">
              <w:rPr>
                <w:b/>
                <w:bCs/>
              </w:rPr>
              <w:t>1</w:t>
            </w:r>
            <w:r w:rsidRPr="18BE9288">
              <w:rPr>
                <w:b/>
                <w:bCs/>
              </w:rPr>
              <w:t>%</w:t>
            </w:r>
          </w:p>
        </w:tc>
        <w:tc>
          <w:tcPr>
            <w:tcW w:w="2091" w:type="dxa"/>
          </w:tcPr>
          <w:p w14:paraId="5AF36891" w14:textId="53A04ED2" w:rsidR="02A14BB3" w:rsidRDefault="72D591F1" w:rsidP="18BE9288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Collaboration &amp; Representation</w:t>
            </w:r>
          </w:p>
          <w:p w14:paraId="3F6F8869" w14:textId="4AAEE1E6" w:rsidR="02A14BB3" w:rsidRDefault="55110B3C" w:rsidP="5B07DC10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2</w:t>
            </w:r>
            <w:r w:rsidR="00287691">
              <w:rPr>
                <w:b/>
                <w:bCs/>
              </w:rPr>
              <w:t>0</w:t>
            </w:r>
            <w:r w:rsidRPr="18BE9288">
              <w:rPr>
                <w:b/>
                <w:bCs/>
              </w:rPr>
              <w:t>%</w:t>
            </w:r>
          </w:p>
        </w:tc>
        <w:tc>
          <w:tcPr>
            <w:tcW w:w="2091" w:type="dxa"/>
          </w:tcPr>
          <w:p w14:paraId="6C275ACD" w14:textId="10ADB6E9" w:rsidR="02A14BB3" w:rsidRDefault="72D591F1" w:rsidP="18BE9288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Communication</w:t>
            </w:r>
          </w:p>
          <w:p w14:paraId="2AFED3CF" w14:textId="1A8E24D4" w:rsidR="02A14BB3" w:rsidRDefault="02A14BB3" w:rsidP="18BE9288">
            <w:pPr>
              <w:jc w:val="center"/>
              <w:rPr>
                <w:b/>
                <w:bCs/>
              </w:rPr>
            </w:pPr>
          </w:p>
          <w:p w14:paraId="6BBB652C" w14:textId="321D04F4" w:rsidR="02A14BB3" w:rsidRDefault="57E30F6C" w:rsidP="5B07DC10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7%</w:t>
            </w:r>
          </w:p>
        </w:tc>
        <w:tc>
          <w:tcPr>
            <w:tcW w:w="2091" w:type="dxa"/>
          </w:tcPr>
          <w:p w14:paraId="6CFB6E75" w14:textId="7FC8AE25" w:rsidR="02A14BB3" w:rsidRDefault="72D591F1" w:rsidP="18BE9288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GOT / Training</w:t>
            </w:r>
          </w:p>
          <w:p w14:paraId="7EB1AFFF" w14:textId="2F68A78C" w:rsidR="02A14BB3" w:rsidRDefault="02A14BB3" w:rsidP="18BE9288">
            <w:pPr>
              <w:jc w:val="center"/>
              <w:rPr>
                <w:b/>
                <w:bCs/>
              </w:rPr>
            </w:pPr>
          </w:p>
          <w:p w14:paraId="3D431AD3" w14:textId="3218FF47" w:rsidR="02A14BB3" w:rsidRDefault="005A38D1" w:rsidP="5B07D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2967CD6F" w:rsidRPr="18BE9288">
              <w:rPr>
                <w:b/>
                <w:bCs/>
              </w:rPr>
              <w:t>%</w:t>
            </w:r>
          </w:p>
        </w:tc>
        <w:tc>
          <w:tcPr>
            <w:tcW w:w="2091" w:type="dxa"/>
          </w:tcPr>
          <w:p w14:paraId="3C167650" w14:textId="55DFF7EF" w:rsidR="02A14BB3" w:rsidRDefault="72D591F1" w:rsidP="18BE9288">
            <w:pPr>
              <w:jc w:val="center"/>
              <w:rPr>
                <w:b/>
                <w:bCs/>
              </w:rPr>
            </w:pPr>
            <w:r w:rsidRPr="18BE9288">
              <w:rPr>
                <w:b/>
                <w:bCs/>
              </w:rPr>
              <w:t>SAPOE Admin / Other</w:t>
            </w:r>
          </w:p>
          <w:p w14:paraId="160C6982" w14:textId="6806EEC9" w:rsidR="02A14BB3" w:rsidRDefault="00F0637F" w:rsidP="5B07D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23814983" w:rsidRPr="398ACE76">
              <w:rPr>
                <w:b/>
                <w:bCs/>
              </w:rPr>
              <w:t>%</w:t>
            </w:r>
          </w:p>
        </w:tc>
      </w:tr>
      <w:tr w:rsidR="00A46536" w14:paraId="221C4BCD" w14:textId="77777777" w:rsidTr="398ACE76">
        <w:trPr>
          <w:trHeight w:val="300"/>
        </w:trPr>
        <w:tc>
          <w:tcPr>
            <w:tcW w:w="2091" w:type="dxa"/>
          </w:tcPr>
          <w:p w14:paraId="20841718" w14:textId="4F5FDDC0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Members survey</w:t>
            </w:r>
            <w:r>
              <w:rPr>
                <w:sz w:val="20"/>
                <w:szCs w:val="20"/>
              </w:rPr>
              <w:t xml:space="preserve"> 2025-26</w:t>
            </w:r>
          </w:p>
        </w:tc>
        <w:tc>
          <w:tcPr>
            <w:tcW w:w="2091" w:type="dxa"/>
          </w:tcPr>
          <w:p w14:paraId="11F3BD4F" w14:textId="2904984A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SOLSWG</w:t>
            </w:r>
          </w:p>
        </w:tc>
        <w:tc>
          <w:tcPr>
            <w:tcW w:w="2091" w:type="dxa"/>
          </w:tcPr>
          <w:p w14:paraId="779EB58D" w14:textId="3AA76DBC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 xml:space="preserve">Communications </w:t>
            </w:r>
            <w:r>
              <w:rPr>
                <w:sz w:val="20"/>
                <w:szCs w:val="20"/>
              </w:rPr>
              <w:t xml:space="preserve">plan </w:t>
            </w:r>
            <w:r w:rsidRPr="5B07DC10">
              <w:rPr>
                <w:sz w:val="20"/>
                <w:szCs w:val="20"/>
              </w:rPr>
              <w:t>review work</w:t>
            </w:r>
          </w:p>
        </w:tc>
        <w:tc>
          <w:tcPr>
            <w:tcW w:w="2091" w:type="dxa"/>
          </w:tcPr>
          <w:p w14:paraId="3EA528B2" w14:textId="2AB6CA39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GOT training meetings</w:t>
            </w:r>
          </w:p>
        </w:tc>
        <w:tc>
          <w:tcPr>
            <w:tcW w:w="2091" w:type="dxa"/>
          </w:tcPr>
          <w:p w14:paraId="4AA34307" w14:textId="4231639C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Officer updates</w:t>
            </w:r>
          </w:p>
        </w:tc>
      </w:tr>
      <w:tr w:rsidR="00A46536" w14:paraId="1030D6D9" w14:textId="77777777" w:rsidTr="398ACE76">
        <w:trPr>
          <w:trHeight w:val="300"/>
        </w:trPr>
        <w:tc>
          <w:tcPr>
            <w:tcW w:w="2091" w:type="dxa"/>
          </w:tcPr>
          <w:p w14:paraId="0BBB7A00" w14:textId="6318540C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Annual Report</w:t>
            </w:r>
            <w:r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091" w:type="dxa"/>
          </w:tcPr>
          <w:p w14:paraId="481D7A12" w14:textId="146BD8FA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 xml:space="preserve">CIC </w:t>
            </w:r>
            <w:r>
              <w:rPr>
                <w:sz w:val="20"/>
                <w:szCs w:val="20"/>
              </w:rPr>
              <w:t>Project</w:t>
            </w:r>
          </w:p>
        </w:tc>
        <w:tc>
          <w:tcPr>
            <w:tcW w:w="2091" w:type="dxa"/>
          </w:tcPr>
          <w:p w14:paraId="66126E4B" w14:textId="5A31CD92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SAPOE </w:t>
            </w:r>
            <w:r w:rsidRPr="5B07DC10">
              <w:rPr>
                <w:sz w:val="20"/>
                <w:szCs w:val="20"/>
              </w:rPr>
              <w:t>Website updates</w:t>
            </w:r>
          </w:p>
        </w:tc>
        <w:tc>
          <w:tcPr>
            <w:tcW w:w="2091" w:type="dxa"/>
          </w:tcPr>
          <w:p w14:paraId="04305355" w14:textId="11B03ED5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GOT website</w:t>
            </w:r>
          </w:p>
        </w:tc>
        <w:tc>
          <w:tcPr>
            <w:tcW w:w="2091" w:type="dxa"/>
          </w:tcPr>
          <w:p w14:paraId="096559D7" w14:textId="7BC7387A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SAPOE meeting prep</w:t>
            </w:r>
          </w:p>
        </w:tc>
      </w:tr>
      <w:tr w:rsidR="00A46536" w14:paraId="0F668A7B" w14:textId="77777777" w:rsidTr="398ACE76">
        <w:trPr>
          <w:trHeight w:val="300"/>
        </w:trPr>
        <w:tc>
          <w:tcPr>
            <w:tcW w:w="2091" w:type="dxa"/>
          </w:tcPr>
          <w:p w14:paraId="2586E852" w14:textId="42341003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Newsletter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091" w:type="dxa"/>
          </w:tcPr>
          <w:p w14:paraId="745D94B1" w14:textId="5DFBEE72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Diligence Project</w:t>
            </w:r>
          </w:p>
        </w:tc>
        <w:tc>
          <w:tcPr>
            <w:tcW w:w="2091" w:type="dxa"/>
          </w:tcPr>
          <w:p w14:paraId="049075AB" w14:textId="258CC045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SAPOE </w:t>
            </w:r>
            <w:r w:rsidRPr="5B07DC10">
              <w:rPr>
                <w:sz w:val="20"/>
                <w:szCs w:val="20"/>
              </w:rPr>
              <w:t>Website design</w:t>
            </w:r>
          </w:p>
        </w:tc>
        <w:tc>
          <w:tcPr>
            <w:tcW w:w="2091" w:type="dxa"/>
          </w:tcPr>
          <w:p w14:paraId="6A2EDA35" w14:textId="00DDFC3A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GOT project work</w:t>
            </w:r>
          </w:p>
        </w:tc>
        <w:tc>
          <w:tcPr>
            <w:tcW w:w="2091" w:type="dxa"/>
          </w:tcPr>
          <w:p w14:paraId="67A55C77" w14:textId="24CE943D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SAPOE </w:t>
            </w:r>
            <w:r w:rsidRPr="5B07DC10">
              <w:rPr>
                <w:sz w:val="20"/>
                <w:szCs w:val="20"/>
              </w:rPr>
              <w:t>AGM prep</w:t>
            </w:r>
          </w:p>
        </w:tc>
      </w:tr>
      <w:tr w:rsidR="00A46536" w14:paraId="0E742C23" w14:textId="77777777" w:rsidTr="398ACE76">
        <w:trPr>
          <w:trHeight w:val="300"/>
        </w:trPr>
        <w:tc>
          <w:tcPr>
            <w:tcW w:w="2091" w:type="dxa"/>
          </w:tcPr>
          <w:p w14:paraId="6CF88F1A" w14:textId="1A7DA509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Annual Planner</w:t>
            </w:r>
          </w:p>
        </w:tc>
        <w:tc>
          <w:tcPr>
            <w:tcW w:w="2091" w:type="dxa"/>
          </w:tcPr>
          <w:p w14:paraId="44707047" w14:textId="073ED4F5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SAAF workforce group</w:t>
            </w:r>
          </w:p>
        </w:tc>
        <w:tc>
          <w:tcPr>
            <w:tcW w:w="2091" w:type="dxa"/>
          </w:tcPr>
          <w:p w14:paraId="125B6E76" w14:textId="1C7DBEC7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Social Media updates – Linked In</w:t>
            </w:r>
          </w:p>
        </w:tc>
        <w:tc>
          <w:tcPr>
            <w:tcW w:w="2091" w:type="dxa"/>
          </w:tcPr>
          <w:p w14:paraId="519EEE0F" w14:textId="015036F7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SLO/TLO project</w:t>
            </w:r>
          </w:p>
        </w:tc>
        <w:tc>
          <w:tcPr>
            <w:tcW w:w="2091" w:type="dxa"/>
          </w:tcPr>
          <w:p w14:paraId="031C809A" w14:textId="24199BA3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Exec meetings</w:t>
            </w:r>
          </w:p>
        </w:tc>
      </w:tr>
      <w:tr w:rsidR="00A46536" w14:paraId="43F00686" w14:textId="77777777" w:rsidTr="00450D7A">
        <w:trPr>
          <w:trHeight w:val="300"/>
        </w:trPr>
        <w:tc>
          <w:tcPr>
            <w:tcW w:w="2091" w:type="dxa"/>
          </w:tcPr>
          <w:p w14:paraId="28579B77" w14:textId="5B90BCCB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Chair’s letter</w:t>
            </w:r>
            <w:r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2091" w:type="dxa"/>
          </w:tcPr>
          <w:p w14:paraId="1E663757" w14:textId="433ABCA0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 xml:space="preserve">HQ Residential </w:t>
            </w:r>
            <w:r w:rsidR="00032A65">
              <w:rPr>
                <w:sz w:val="20"/>
                <w:szCs w:val="20"/>
              </w:rPr>
              <w:t xml:space="preserve">Guiding </w:t>
            </w:r>
            <w:r w:rsidRPr="5B07DC10">
              <w:rPr>
                <w:sz w:val="20"/>
                <w:szCs w:val="20"/>
              </w:rPr>
              <w:t>Framework</w:t>
            </w:r>
          </w:p>
        </w:tc>
        <w:tc>
          <w:tcPr>
            <w:tcW w:w="2091" w:type="dxa"/>
          </w:tcPr>
          <w:p w14:paraId="1BE380EE" w14:textId="03EC9AA8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SAPOE systems -</w:t>
            </w:r>
          </w:p>
          <w:p w14:paraId="0FC165D4" w14:textId="39B97C54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Office</w:t>
            </w:r>
          </w:p>
        </w:tc>
        <w:tc>
          <w:tcPr>
            <w:tcW w:w="2091" w:type="dxa"/>
          </w:tcPr>
          <w:p w14:paraId="24F4196B" w14:textId="687CB489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 Review</w:t>
            </w:r>
          </w:p>
        </w:tc>
        <w:tc>
          <w:tcPr>
            <w:tcW w:w="2091" w:type="dxa"/>
          </w:tcPr>
          <w:p w14:paraId="2778E26A" w14:textId="05748DE4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>Lead officer updates</w:t>
            </w:r>
          </w:p>
        </w:tc>
      </w:tr>
      <w:tr w:rsidR="00A46536" w14:paraId="0FB6EE85" w14:textId="77777777" w:rsidTr="00450D7A">
        <w:trPr>
          <w:trHeight w:val="300"/>
        </w:trPr>
        <w:tc>
          <w:tcPr>
            <w:tcW w:w="2091" w:type="dxa"/>
          </w:tcPr>
          <w:p w14:paraId="2A4FA0B4" w14:textId="77F3ED56" w:rsidR="00A46536" w:rsidRDefault="00F35DDD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 direct contact</w:t>
            </w:r>
          </w:p>
        </w:tc>
        <w:tc>
          <w:tcPr>
            <w:tcW w:w="2091" w:type="dxa"/>
          </w:tcPr>
          <w:p w14:paraId="5C6D2343" w14:textId="0BFDD39F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 Communications</w:t>
            </w:r>
          </w:p>
        </w:tc>
        <w:tc>
          <w:tcPr>
            <w:tcW w:w="2091" w:type="dxa"/>
          </w:tcPr>
          <w:p w14:paraId="627B3C28" w14:textId="450B36A4" w:rsidR="00A46536" w:rsidRDefault="00A46536" w:rsidP="00A4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Email Communication</w:t>
            </w:r>
          </w:p>
        </w:tc>
        <w:tc>
          <w:tcPr>
            <w:tcW w:w="2091" w:type="dxa"/>
            <w:shd w:val="clear" w:color="auto" w:fill="D1D1D1" w:themeFill="background2" w:themeFillShade="E6"/>
          </w:tcPr>
          <w:p w14:paraId="50D872DD" w14:textId="732C9803" w:rsidR="00A46536" w:rsidRDefault="00A46536" w:rsidP="00A46536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14:paraId="45AA5C83" w14:textId="637416DA" w:rsidR="00A46536" w:rsidRDefault="00A46536" w:rsidP="00A46536">
            <w:pPr>
              <w:rPr>
                <w:sz w:val="20"/>
                <w:szCs w:val="20"/>
              </w:rPr>
            </w:pPr>
            <w:r w:rsidRPr="5B07DC10">
              <w:rPr>
                <w:sz w:val="20"/>
                <w:szCs w:val="20"/>
              </w:rPr>
              <w:t xml:space="preserve">SAPOE </w:t>
            </w:r>
            <w:r>
              <w:rPr>
                <w:sz w:val="20"/>
                <w:szCs w:val="20"/>
              </w:rPr>
              <w:t xml:space="preserve">general </w:t>
            </w:r>
            <w:r w:rsidRPr="5B07DC10">
              <w:rPr>
                <w:sz w:val="20"/>
                <w:szCs w:val="20"/>
              </w:rPr>
              <w:t>admin</w:t>
            </w:r>
          </w:p>
        </w:tc>
      </w:tr>
      <w:tr w:rsidR="00CB443B" w14:paraId="5B927E72" w14:textId="77777777" w:rsidTr="00A46536">
        <w:trPr>
          <w:trHeight w:val="300"/>
        </w:trPr>
        <w:tc>
          <w:tcPr>
            <w:tcW w:w="2091" w:type="dxa"/>
          </w:tcPr>
          <w:p w14:paraId="6DB8A555" w14:textId="6E2943E1" w:rsidR="00CB443B" w:rsidRDefault="00CB443B" w:rsidP="00CB443B">
            <w:pPr>
              <w:rPr>
                <w:sz w:val="20"/>
                <w:szCs w:val="20"/>
              </w:rPr>
            </w:pPr>
            <w:r w:rsidRPr="258D7389">
              <w:rPr>
                <w:sz w:val="20"/>
                <w:szCs w:val="20"/>
              </w:rPr>
              <w:t>Member Admin &amp; Comms</w:t>
            </w:r>
          </w:p>
        </w:tc>
        <w:tc>
          <w:tcPr>
            <w:tcW w:w="2091" w:type="dxa"/>
            <w:shd w:val="clear" w:color="auto" w:fill="D1D1D1" w:themeFill="background2" w:themeFillShade="E6"/>
          </w:tcPr>
          <w:p w14:paraId="65800143" w14:textId="56076464" w:rsidR="00CB443B" w:rsidRDefault="00CB443B" w:rsidP="00CB443B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66F0FED2" w14:textId="693DD2F6" w:rsidR="00CB443B" w:rsidRDefault="00CB443B" w:rsidP="00CB443B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378DD344" w14:textId="05D2849B" w:rsidR="00CB443B" w:rsidRDefault="00CB443B" w:rsidP="00CB443B">
            <w:pPr>
              <w:rPr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1D1D1" w:themeFill="background2" w:themeFillShade="E6"/>
          </w:tcPr>
          <w:p w14:paraId="4CD1E277" w14:textId="3A47D01A" w:rsidR="00CB443B" w:rsidRDefault="00CB443B" w:rsidP="00CB443B">
            <w:pPr>
              <w:rPr>
                <w:sz w:val="20"/>
                <w:szCs w:val="20"/>
              </w:rPr>
            </w:pPr>
          </w:p>
        </w:tc>
      </w:tr>
    </w:tbl>
    <w:p w14:paraId="68802E94" w14:textId="77777777" w:rsidR="001D0669" w:rsidRDefault="001D0669" w:rsidP="5B07DC10">
      <w:pPr>
        <w:rPr>
          <w:b/>
          <w:bCs/>
        </w:rPr>
      </w:pPr>
    </w:p>
    <w:p w14:paraId="24A891BD" w14:textId="77777777" w:rsidR="00FC7DCF" w:rsidRDefault="00FC7DCF">
      <w:pPr>
        <w:rPr>
          <w:b/>
          <w:bCs/>
        </w:rPr>
      </w:pPr>
      <w:r>
        <w:rPr>
          <w:b/>
          <w:bCs/>
        </w:rPr>
        <w:br w:type="page"/>
      </w:r>
    </w:p>
    <w:p w14:paraId="15FE35F9" w14:textId="7FEFB613" w:rsidR="27B22839" w:rsidRDefault="27B22839" w:rsidP="5B07DC10">
      <w:pPr>
        <w:rPr>
          <w:b/>
          <w:bCs/>
        </w:rPr>
      </w:pPr>
      <w:r w:rsidRPr="5B07DC10">
        <w:rPr>
          <w:b/>
          <w:bCs/>
        </w:rPr>
        <w:lastRenderedPageBreak/>
        <w:t>Key Progress 202</w:t>
      </w:r>
      <w:r w:rsidR="00FC7DCF">
        <w:rPr>
          <w:b/>
          <w:bCs/>
        </w:rPr>
        <w:t>6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870"/>
        <w:gridCol w:w="1635"/>
        <w:gridCol w:w="1950"/>
      </w:tblGrid>
      <w:tr w:rsidR="5B07DC10" w14:paraId="153C74B4" w14:textId="77777777" w:rsidTr="57EEB538">
        <w:trPr>
          <w:trHeight w:val="300"/>
        </w:trPr>
        <w:tc>
          <w:tcPr>
            <w:tcW w:w="6870" w:type="dxa"/>
          </w:tcPr>
          <w:p w14:paraId="0467DF27" w14:textId="115B6446" w:rsidR="716EC47E" w:rsidRDefault="716EC47E" w:rsidP="5B07DC10">
            <w:pPr>
              <w:rPr>
                <w:b/>
                <w:bCs/>
                <w:sz w:val="22"/>
                <w:szCs w:val="22"/>
              </w:rPr>
            </w:pPr>
            <w:r w:rsidRPr="5B07DC10">
              <w:rPr>
                <w:b/>
                <w:bCs/>
                <w:sz w:val="22"/>
                <w:szCs w:val="22"/>
              </w:rPr>
              <w:t>Area of Work</w:t>
            </w:r>
          </w:p>
        </w:tc>
        <w:tc>
          <w:tcPr>
            <w:tcW w:w="1635" w:type="dxa"/>
          </w:tcPr>
          <w:p w14:paraId="79DF57FB" w14:textId="4C8C8BF8" w:rsidR="7D20C440" w:rsidRDefault="7D20C440" w:rsidP="5B07DC10">
            <w:pPr>
              <w:jc w:val="center"/>
              <w:rPr>
                <w:b/>
                <w:bCs/>
                <w:sz w:val="22"/>
                <w:szCs w:val="22"/>
              </w:rPr>
            </w:pPr>
            <w:r w:rsidRPr="5B07DC10">
              <w:rPr>
                <w:b/>
                <w:bCs/>
                <w:sz w:val="22"/>
                <w:szCs w:val="22"/>
              </w:rPr>
              <w:t xml:space="preserve">Core </w:t>
            </w:r>
            <w:r w:rsidR="3AE6B09E" w:rsidRPr="5B07DC10">
              <w:rPr>
                <w:b/>
                <w:bCs/>
                <w:sz w:val="22"/>
                <w:szCs w:val="22"/>
              </w:rPr>
              <w:t>Strategy Action</w:t>
            </w:r>
          </w:p>
        </w:tc>
        <w:tc>
          <w:tcPr>
            <w:tcW w:w="1950" w:type="dxa"/>
          </w:tcPr>
          <w:p w14:paraId="210D8706" w14:textId="1222E85A" w:rsidR="3AE6B09E" w:rsidRDefault="3AE6B09E" w:rsidP="5B07DC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34FAE5A8" w14:textId="77777777" w:rsidTr="57EEB538">
        <w:trPr>
          <w:trHeight w:val="300"/>
        </w:trPr>
        <w:tc>
          <w:tcPr>
            <w:tcW w:w="6870" w:type="dxa"/>
            <w:shd w:val="clear" w:color="auto" w:fill="F2F2F2" w:themeFill="background1" w:themeFillShade="F2"/>
          </w:tcPr>
          <w:p w14:paraId="70074345" w14:textId="24FC3448" w:rsidR="49649979" w:rsidRDefault="49649979" w:rsidP="5B07DC10">
            <w:pPr>
              <w:rPr>
                <w:b/>
                <w:bCs/>
                <w:sz w:val="22"/>
                <w:szCs w:val="22"/>
              </w:rPr>
            </w:pPr>
            <w:r w:rsidRPr="5B07DC10">
              <w:rPr>
                <w:b/>
                <w:bCs/>
                <w:sz w:val="22"/>
                <w:szCs w:val="22"/>
              </w:rPr>
              <w:t>Membership survey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5143BD00" w14:textId="7C3A41E2" w:rsidR="49649979" w:rsidRDefault="49649979" w:rsidP="5B07DC10">
            <w:pPr>
              <w:jc w:val="center"/>
              <w:rPr>
                <w:b/>
                <w:bCs/>
                <w:sz w:val="22"/>
                <w:szCs w:val="22"/>
              </w:rPr>
            </w:pPr>
            <w:r w:rsidRPr="5B07DC10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4D37C3D9" w14:textId="6D54260D" w:rsidR="49649979" w:rsidRDefault="49649979" w:rsidP="5B07DC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23A62005" w14:textId="77777777" w:rsidTr="00A670FA">
        <w:trPr>
          <w:trHeight w:val="668"/>
        </w:trPr>
        <w:tc>
          <w:tcPr>
            <w:tcW w:w="10455" w:type="dxa"/>
            <w:gridSpan w:val="3"/>
            <w:shd w:val="clear" w:color="auto" w:fill="F2F2F2" w:themeFill="background1" w:themeFillShade="F2"/>
          </w:tcPr>
          <w:p w14:paraId="00382839" w14:textId="0A01B93B" w:rsidR="49649979" w:rsidRDefault="009A7C90" w:rsidP="5B07D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Produced a survey summary </w:t>
            </w:r>
            <w:r w:rsidR="008856B8">
              <w:rPr>
                <w:sz w:val="22"/>
                <w:szCs w:val="22"/>
              </w:rPr>
              <w:t>and p</w:t>
            </w:r>
            <w:r w:rsidR="5280DA1E" w:rsidRPr="5B07DC10">
              <w:rPr>
                <w:sz w:val="22"/>
                <w:szCs w:val="22"/>
              </w:rPr>
              <w:t>resented key findings at the AGM</w:t>
            </w:r>
            <w:r w:rsidR="00412960">
              <w:rPr>
                <w:sz w:val="22"/>
                <w:szCs w:val="22"/>
              </w:rPr>
              <w:t>. Also used the survey to inform exec decision</w:t>
            </w:r>
            <w:r w:rsidR="00A670FA">
              <w:rPr>
                <w:sz w:val="22"/>
                <w:szCs w:val="22"/>
              </w:rPr>
              <w:t>s</w:t>
            </w:r>
            <w:r w:rsidR="5280DA1E" w:rsidRPr="5B07DC10">
              <w:rPr>
                <w:sz w:val="22"/>
                <w:szCs w:val="22"/>
              </w:rPr>
              <w:t xml:space="preserve"> </w:t>
            </w:r>
            <w:proofErr w:type="gramStart"/>
            <w:r w:rsidR="5280DA1E" w:rsidRPr="5B07DC10">
              <w:rPr>
                <w:sz w:val="22"/>
                <w:szCs w:val="22"/>
              </w:rPr>
              <w:t>and also</w:t>
            </w:r>
            <w:proofErr w:type="gramEnd"/>
            <w:r w:rsidR="5280DA1E" w:rsidRPr="5B07DC10">
              <w:rPr>
                <w:sz w:val="22"/>
                <w:szCs w:val="22"/>
              </w:rPr>
              <w:t xml:space="preserve"> to inform aspects of the annual report. </w:t>
            </w:r>
          </w:p>
        </w:tc>
      </w:tr>
      <w:tr w:rsidR="5B07DC10" w14:paraId="6DA95AEC" w14:textId="77777777" w:rsidTr="57EEB538">
        <w:trPr>
          <w:trHeight w:val="300"/>
        </w:trPr>
        <w:tc>
          <w:tcPr>
            <w:tcW w:w="6870" w:type="dxa"/>
            <w:shd w:val="clear" w:color="auto" w:fill="C1E4F5" w:themeFill="accent1" w:themeFillTint="33"/>
          </w:tcPr>
          <w:p w14:paraId="69A13731" w14:textId="1C678661" w:rsidR="0EA511A1" w:rsidRDefault="0EA511A1" w:rsidP="5B07DC10">
            <w:pPr>
              <w:rPr>
                <w:b/>
                <w:bCs/>
                <w:sz w:val="22"/>
                <w:szCs w:val="22"/>
              </w:rPr>
            </w:pPr>
            <w:r w:rsidRPr="258D7389">
              <w:rPr>
                <w:b/>
                <w:bCs/>
                <w:sz w:val="22"/>
                <w:szCs w:val="22"/>
              </w:rPr>
              <w:t>Membership</w:t>
            </w:r>
          </w:p>
        </w:tc>
        <w:tc>
          <w:tcPr>
            <w:tcW w:w="1635" w:type="dxa"/>
            <w:shd w:val="clear" w:color="auto" w:fill="C1E4F5" w:themeFill="accent1" w:themeFillTint="33"/>
          </w:tcPr>
          <w:p w14:paraId="1C3BC2DF" w14:textId="7D87DD90" w:rsidR="0EA511A1" w:rsidRDefault="0EA511A1" w:rsidP="5B07DC10">
            <w:pPr>
              <w:jc w:val="center"/>
              <w:rPr>
                <w:b/>
                <w:bCs/>
                <w:sz w:val="22"/>
                <w:szCs w:val="22"/>
              </w:rPr>
            </w:pPr>
            <w:r w:rsidRPr="5B07DC10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950" w:type="dxa"/>
            <w:shd w:val="clear" w:color="auto" w:fill="C1E4F5" w:themeFill="accent1" w:themeFillTint="33"/>
          </w:tcPr>
          <w:p w14:paraId="1555EA2A" w14:textId="4AE9E017" w:rsidR="5B07DC10" w:rsidRDefault="5B07DC10" w:rsidP="5B07DC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4E6CF042" w14:textId="77777777" w:rsidTr="00AD01A1">
        <w:trPr>
          <w:trHeight w:val="611"/>
        </w:trPr>
        <w:tc>
          <w:tcPr>
            <w:tcW w:w="10455" w:type="dxa"/>
            <w:gridSpan w:val="3"/>
            <w:shd w:val="clear" w:color="auto" w:fill="C1E4F5" w:themeFill="accent1" w:themeFillTint="33"/>
          </w:tcPr>
          <w:p w14:paraId="600E8A5F" w14:textId="6A8D2294" w:rsidR="0EA511A1" w:rsidRDefault="0EA511A1" w:rsidP="5B07DC10">
            <w:pPr>
              <w:rPr>
                <w:sz w:val="22"/>
                <w:szCs w:val="22"/>
              </w:rPr>
            </w:pPr>
            <w:r w:rsidRPr="258D7389">
              <w:rPr>
                <w:sz w:val="22"/>
                <w:szCs w:val="22"/>
              </w:rPr>
              <w:t>N</w:t>
            </w:r>
            <w:r w:rsidR="5C1B9DEB" w:rsidRPr="258D7389">
              <w:rPr>
                <w:sz w:val="22"/>
                <w:szCs w:val="22"/>
              </w:rPr>
              <w:t>umber of</w:t>
            </w:r>
            <w:r w:rsidRPr="258D7389">
              <w:rPr>
                <w:sz w:val="22"/>
                <w:szCs w:val="22"/>
              </w:rPr>
              <w:t xml:space="preserve"> local authorities</w:t>
            </w:r>
            <w:r w:rsidR="72DEB5C9" w:rsidRPr="258D7389">
              <w:rPr>
                <w:sz w:val="22"/>
                <w:szCs w:val="22"/>
              </w:rPr>
              <w:t xml:space="preserve"> with a named contact</w:t>
            </w:r>
            <w:r w:rsidRPr="258D7389">
              <w:rPr>
                <w:sz w:val="22"/>
                <w:szCs w:val="22"/>
              </w:rPr>
              <w:t xml:space="preserve"> has incr</w:t>
            </w:r>
            <w:r w:rsidR="0CB4E4D5" w:rsidRPr="258D7389">
              <w:rPr>
                <w:sz w:val="22"/>
                <w:szCs w:val="22"/>
              </w:rPr>
              <w:t>ea</w:t>
            </w:r>
            <w:r w:rsidRPr="258D7389">
              <w:rPr>
                <w:sz w:val="22"/>
                <w:szCs w:val="22"/>
              </w:rPr>
              <w:t xml:space="preserve">sed </w:t>
            </w:r>
            <w:r w:rsidR="00A41D70">
              <w:rPr>
                <w:sz w:val="22"/>
                <w:szCs w:val="22"/>
              </w:rPr>
              <w:t>to 30</w:t>
            </w:r>
            <w:r w:rsidR="32797F0D" w:rsidRPr="258D7389">
              <w:rPr>
                <w:sz w:val="22"/>
                <w:szCs w:val="22"/>
              </w:rPr>
              <w:t>.</w:t>
            </w:r>
            <w:r w:rsidR="00A41D70">
              <w:rPr>
                <w:sz w:val="22"/>
                <w:szCs w:val="22"/>
              </w:rPr>
              <w:t xml:space="preserve">  This </w:t>
            </w:r>
            <w:proofErr w:type="gramStart"/>
            <w:r w:rsidR="00A41D70">
              <w:rPr>
                <w:sz w:val="22"/>
                <w:szCs w:val="22"/>
              </w:rPr>
              <w:t>years</w:t>
            </w:r>
            <w:proofErr w:type="gramEnd"/>
            <w:r w:rsidR="00A41D70">
              <w:rPr>
                <w:sz w:val="22"/>
                <w:szCs w:val="22"/>
              </w:rPr>
              <w:t xml:space="preserve"> ambition is to increase the number of </w:t>
            </w:r>
            <w:proofErr w:type="gramStart"/>
            <w:r w:rsidR="00A41D70">
              <w:rPr>
                <w:sz w:val="22"/>
                <w:szCs w:val="22"/>
              </w:rPr>
              <w:t>paid up</w:t>
            </w:r>
            <w:proofErr w:type="gramEnd"/>
            <w:r w:rsidR="0069659E">
              <w:rPr>
                <w:sz w:val="22"/>
                <w:szCs w:val="22"/>
              </w:rPr>
              <w:t xml:space="preserve"> members (currently 20 in 2025-26)</w:t>
            </w:r>
            <w:r w:rsidR="00AD01A1">
              <w:rPr>
                <w:sz w:val="22"/>
                <w:szCs w:val="22"/>
              </w:rPr>
              <w:t xml:space="preserve"> and improve engagement with less active members.</w:t>
            </w:r>
            <w:r w:rsidR="32797F0D" w:rsidRPr="258D7389">
              <w:rPr>
                <w:sz w:val="22"/>
                <w:szCs w:val="22"/>
              </w:rPr>
              <w:t xml:space="preserve"> </w:t>
            </w:r>
          </w:p>
        </w:tc>
      </w:tr>
      <w:tr w:rsidR="5B07DC10" w14:paraId="2D556587" w14:textId="77777777" w:rsidTr="57EEB538">
        <w:trPr>
          <w:trHeight w:val="300"/>
        </w:trPr>
        <w:tc>
          <w:tcPr>
            <w:tcW w:w="6870" w:type="dxa"/>
            <w:shd w:val="clear" w:color="auto" w:fill="F2F2F2" w:themeFill="background1" w:themeFillShade="F2"/>
          </w:tcPr>
          <w:p w14:paraId="68743594" w14:textId="551F6E87" w:rsidR="2C6DCB39" w:rsidRDefault="2C6DCB39" w:rsidP="5B07DC10">
            <w:pPr>
              <w:rPr>
                <w:b/>
                <w:bCs/>
                <w:sz w:val="22"/>
                <w:szCs w:val="22"/>
              </w:rPr>
            </w:pPr>
            <w:r w:rsidRPr="5B07DC10">
              <w:rPr>
                <w:b/>
                <w:bCs/>
                <w:sz w:val="22"/>
                <w:szCs w:val="22"/>
              </w:rPr>
              <w:t xml:space="preserve">Newsletter &amp; email contact using </w:t>
            </w:r>
            <w:proofErr w:type="spellStart"/>
            <w:r w:rsidRPr="5B07DC10">
              <w:rPr>
                <w:b/>
                <w:bCs/>
                <w:sz w:val="22"/>
                <w:szCs w:val="22"/>
              </w:rPr>
              <w:t>mailchimp</w:t>
            </w:r>
            <w:proofErr w:type="spellEnd"/>
          </w:p>
        </w:tc>
        <w:tc>
          <w:tcPr>
            <w:tcW w:w="1635" w:type="dxa"/>
            <w:shd w:val="clear" w:color="auto" w:fill="F2F2F2" w:themeFill="background1" w:themeFillShade="F2"/>
          </w:tcPr>
          <w:p w14:paraId="20E828CD" w14:textId="20D833FD" w:rsidR="2C6DCB39" w:rsidRDefault="2C6DCB39" w:rsidP="5B07DC10">
            <w:pPr>
              <w:jc w:val="center"/>
              <w:rPr>
                <w:b/>
                <w:bCs/>
                <w:sz w:val="22"/>
                <w:szCs w:val="22"/>
              </w:rPr>
            </w:pPr>
            <w:r w:rsidRPr="5B07DC10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75B33D56" w14:textId="544C0079" w:rsidR="5B07DC10" w:rsidRDefault="5B07DC10" w:rsidP="5B07DC1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52344FED" w14:textId="77777777" w:rsidTr="57EEB538">
        <w:trPr>
          <w:trHeight w:val="705"/>
        </w:trPr>
        <w:tc>
          <w:tcPr>
            <w:tcW w:w="10455" w:type="dxa"/>
            <w:gridSpan w:val="3"/>
            <w:shd w:val="clear" w:color="auto" w:fill="F2F2F2" w:themeFill="background1" w:themeFillShade="F2"/>
          </w:tcPr>
          <w:p w14:paraId="7907D4AF" w14:textId="2CB54B88" w:rsidR="377BE534" w:rsidRDefault="006D3C8E" w:rsidP="5B07D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newsletters designed and distributed to SAPOE members, partners and subscribers</w:t>
            </w:r>
            <w:r w:rsidR="003745F9">
              <w:rPr>
                <w:sz w:val="22"/>
                <w:szCs w:val="22"/>
              </w:rPr>
              <w:t>.</w:t>
            </w:r>
          </w:p>
        </w:tc>
      </w:tr>
      <w:tr w:rsidR="5B07DC10" w14:paraId="4A937008" w14:textId="77777777" w:rsidTr="57EEB538">
        <w:trPr>
          <w:trHeight w:val="300"/>
        </w:trPr>
        <w:tc>
          <w:tcPr>
            <w:tcW w:w="6870" w:type="dxa"/>
            <w:shd w:val="clear" w:color="auto" w:fill="C1E4F5" w:themeFill="accent1" w:themeFillTint="33"/>
          </w:tcPr>
          <w:p w14:paraId="7F452009" w14:textId="54384D00" w:rsidR="5B07DC10" w:rsidRDefault="4430F8C3" w:rsidP="258D7389">
            <w:pPr>
              <w:rPr>
                <w:b/>
                <w:bCs/>
                <w:sz w:val="22"/>
                <w:szCs w:val="22"/>
              </w:rPr>
            </w:pPr>
            <w:r w:rsidRPr="258D7389">
              <w:rPr>
                <w:b/>
                <w:bCs/>
                <w:sz w:val="22"/>
                <w:szCs w:val="22"/>
              </w:rPr>
              <w:t>Annual Report</w:t>
            </w:r>
          </w:p>
        </w:tc>
        <w:tc>
          <w:tcPr>
            <w:tcW w:w="1635" w:type="dxa"/>
            <w:shd w:val="clear" w:color="auto" w:fill="C1E4F5" w:themeFill="accent1" w:themeFillTint="33"/>
          </w:tcPr>
          <w:p w14:paraId="638AF274" w14:textId="32596FD8" w:rsidR="5B07DC10" w:rsidRDefault="4430F8C3" w:rsidP="258D7389">
            <w:pPr>
              <w:jc w:val="center"/>
              <w:rPr>
                <w:b/>
                <w:bCs/>
                <w:sz w:val="22"/>
                <w:szCs w:val="22"/>
              </w:rPr>
            </w:pPr>
            <w:r w:rsidRPr="258D7389">
              <w:rPr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950" w:type="dxa"/>
            <w:shd w:val="clear" w:color="auto" w:fill="C1E4F5" w:themeFill="accent1" w:themeFillTint="33"/>
          </w:tcPr>
          <w:p w14:paraId="476731E2" w14:textId="024C83E0" w:rsidR="5B07DC10" w:rsidRDefault="5B07DC10" w:rsidP="258D73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710208E9" w14:textId="77777777" w:rsidTr="57EEB538">
        <w:trPr>
          <w:trHeight w:val="930"/>
        </w:trPr>
        <w:tc>
          <w:tcPr>
            <w:tcW w:w="10455" w:type="dxa"/>
            <w:gridSpan w:val="3"/>
            <w:shd w:val="clear" w:color="auto" w:fill="C1E4F5" w:themeFill="accent1" w:themeFillTint="33"/>
          </w:tcPr>
          <w:p w14:paraId="10D8141B" w14:textId="742BB272" w:rsidR="5B07DC10" w:rsidRDefault="009A2763" w:rsidP="5B07D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second annual report was </w:t>
            </w:r>
            <w:r w:rsidR="00D90593">
              <w:rPr>
                <w:sz w:val="22"/>
                <w:szCs w:val="22"/>
              </w:rPr>
              <w:t xml:space="preserve">again </w:t>
            </w:r>
            <w:r>
              <w:rPr>
                <w:sz w:val="22"/>
                <w:szCs w:val="22"/>
              </w:rPr>
              <w:t>designed</w:t>
            </w:r>
            <w:r w:rsidR="00D90593">
              <w:rPr>
                <w:sz w:val="22"/>
                <w:szCs w:val="22"/>
              </w:rPr>
              <w:t xml:space="preserve"> with input from Ida Maspero and Julie</w:t>
            </w:r>
            <w:r w:rsidR="005F68B9">
              <w:rPr>
                <w:sz w:val="22"/>
                <w:szCs w:val="22"/>
              </w:rPr>
              <w:t xml:space="preserve"> </w:t>
            </w:r>
            <w:r w:rsidR="003745F9">
              <w:rPr>
                <w:sz w:val="22"/>
                <w:szCs w:val="22"/>
              </w:rPr>
              <w:t>Young (Closer Creative)</w:t>
            </w:r>
            <w:r w:rsidR="002F64C9">
              <w:rPr>
                <w:sz w:val="22"/>
                <w:szCs w:val="22"/>
              </w:rPr>
              <w:t>.  This was distributed along with the Chairs Letters to Chief Executives and Directors of Education</w:t>
            </w:r>
            <w:r w:rsidR="00640C12">
              <w:rPr>
                <w:sz w:val="22"/>
                <w:szCs w:val="22"/>
              </w:rPr>
              <w:t>.  It was also circulated to members and partners and promoted publicly via the SAPOE website and Linked In platform.</w:t>
            </w:r>
          </w:p>
        </w:tc>
      </w:tr>
      <w:tr w:rsidR="5B07DC10" w14:paraId="1B0E042D" w14:textId="77777777" w:rsidTr="57EEB538">
        <w:trPr>
          <w:trHeight w:val="300"/>
        </w:trPr>
        <w:tc>
          <w:tcPr>
            <w:tcW w:w="6870" w:type="dxa"/>
            <w:shd w:val="clear" w:color="auto" w:fill="F2F2F2" w:themeFill="background1" w:themeFillShade="F2"/>
          </w:tcPr>
          <w:p w14:paraId="498213AC" w14:textId="676C03EA" w:rsidR="5B07DC10" w:rsidRDefault="310FA208" w:rsidP="45BEB2A4">
            <w:pPr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 xml:space="preserve">Chair’s </w:t>
            </w:r>
            <w:r w:rsidR="1E3867BF" w:rsidRPr="45BEB2A4">
              <w:rPr>
                <w:b/>
                <w:bCs/>
                <w:sz w:val="22"/>
                <w:szCs w:val="22"/>
              </w:rPr>
              <w:t xml:space="preserve">Letter to CE and </w:t>
            </w:r>
            <w:r w:rsidR="2F08622B" w:rsidRPr="45BEB2A4">
              <w:rPr>
                <w:b/>
                <w:bCs/>
                <w:sz w:val="22"/>
                <w:szCs w:val="22"/>
              </w:rPr>
              <w:t>Directors</w:t>
            </w:r>
            <w:r w:rsidR="1E3867BF" w:rsidRPr="45BEB2A4">
              <w:rPr>
                <w:b/>
                <w:bCs/>
                <w:sz w:val="22"/>
                <w:szCs w:val="22"/>
              </w:rPr>
              <w:t xml:space="preserve"> of Education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6EBBD1A" w14:textId="0E76CD54" w:rsidR="5B07DC10" w:rsidRDefault="5D57FA89" w:rsidP="45BEB2A4">
            <w:pPr>
              <w:jc w:val="center"/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 xml:space="preserve">1.3, </w:t>
            </w:r>
            <w:r w:rsidR="31FECDE0" w:rsidRPr="45BEB2A4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7EC92D4B" w14:textId="1304ADE5" w:rsidR="5B07DC10" w:rsidRDefault="5B07DC10" w:rsidP="45BEB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4ED33377" w14:textId="77777777" w:rsidTr="57EEB538">
        <w:trPr>
          <w:trHeight w:val="690"/>
        </w:trPr>
        <w:tc>
          <w:tcPr>
            <w:tcW w:w="10455" w:type="dxa"/>
            <w:gridSpan w:val="3"/>
            <w:shd w:val="clear" w:color="auto" w:fill="F2F2F2" w:themeFill="background1" w:themeFillShade="F2"/>
          </w:tcPr>
          <w:p w14:paraId="5186874B" w14:textId="4766663D" w:rsidR="5B07DC10" w:rsidRDefault="005B389A" w:rsidP="5B07D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letter was written </w:t>
            </w:r>
            <w:r w:rsidR="00A131F5">
              <w:rPr>
                <w:sz w:val="22"/>
                <w:szCs w:val="22"/>
              </w:rPr>
              <w:t>again with input from Ida Maspero</w:t>
            </w:r>
            <w:r w:rsidR="00DF2B57">
              <w:rPr>
                <w:sz w:val="22"/>
                <w:szCs w:val="22"/>
              </w:rPr>
              <w:t xml:space="preserve"> and had</w:t>
            </w:r>
            <w:r>
              <w:rPr>
                <w:sz w:val="22"/>
                <w:szCs w:val="22"/>
              </w:rPr>
              <w:t xml:space="preserve"> </w:t>
            </w:r>
            <w:r w:rsidR="00A131F5">
              <w:rPr>
                <w:sz w:val="22"/>
                <w:szCs w:val="22"/>
              </w:rPr>
              <w:t>a focus on</w:t>
            </w:r>
            <w:r w:rsidR="00DF2B57">
              <w:rPr>
                <w:sz w:val="22"/>
                <w:szCs w:val="22"/>
              </w:rPr>
              <w:t xml:space="preserve"> membership and improving engagement with less active LAs.  It was delivered along with the annual report</w:t>
            </w:r>
            <w:r w:rsidR="00772A43">
              <w:rPr>
                <w:sz w:val="22"/>
                <w:szCs w:val="22"/>
              </w:rPr>
              <w:t>.  A</w:t>
            </w:r>
            <w:r w:rsidR="00B02CEB">
              <w:rPr>
                <w:sz w:val="22"/>
                <w:szCs w:val="22"/>
              </w:rPr>
              <w:t>n</w:t>
            </w:r>
            <w:r w:rsidR="00772A43">
              <w:rPr>
                <w:sz w:val="22"/>
                <w:szCs w:val="22"/>
              </w:rPr>
              <w:t xml:space="preserve"> individualised letter was sent to local authorities with no named rep or </w:t>
            </w:r>
            <w:r w:rsidR="00FC7DCF">
              <w:rPr>
                <w:sz w:val="22"/>
                <w:szCs w:val="22"/>
              </w:rPr>
              <w:t>where the rep has been inactive for various reasons.</w:t>
            </w:r>
            <w:r w:rsidR="00A131F5">
              <w:rPr>
                <w:sz w:val="22"/>
                <w:szCs w:val="22"/>
              </w:rPr>
              <w:t xml:space="preserve"> </w:t>
            </w:r>
          </w:p>
        </w:tc>
      </w:tr>
      <w:tr w:rsidR="5B07DC10" w14:paraId="7F752D13" w14:textId="77777777" w:rsidTr="57EEB538">
        <w:trPr>
          <w:trHeight w:val="300"/>
        </w:trPr>
        <w:tc>
          <w:tcPr>
            <w:tcW w:w="6870" w:type="dxa"/>
            <w:shd w:val="clear" w:color="auto" w:fill="C1E4F5" w:themeFill="accent1" w:themeFillTint="33"/>
          </w:tcPr>
          <w:p w14:paraId="0106BB46" w14:textId="5314D2CA" w:rsidR="5B07DC10" w:rsidRDefault="32FF3B94" w:rsidP="45BEB2A4">
            <w:pPr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 xml:space="preserve">SAPOE CIC </w:t>
            </w:r>
            <w:r w:rsidR="00E55BD6">
              <w:rPr>
                <w:b/>
                <w:bCs/>
                <w:sz w:val="22"/>
                <w:szCs w:val="22"/>
              </w:rPr>
              <w:t>Working Group</w:t>
            </w:r>
          </w:p>
        </w:tc>
        <w:tc>
          <w:tcPr>
            <w:tcW w:w="1635" w:type="dxa"/>
            <w:shd w:val="clear" w:color="auto" w:fill="C1E4F5" w:themeFill="accent1" w:themeFillTint="33"/>
          </w:tcPr>
          <w:p w14:paraId="0E842E15" w14:textId="024CA73A" w:rsidR="5B07DC10" w:rsidRDefault="5258AA95" w:rsidP="45BEB2A4">
            <w:pPr>
              <w:jc w:val="center"/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950" w:type="dxa"/>
            <w:shd w:val="clear" w:color="auto" w:fill="C1E4F5" w:themeFill="accent1" w:themeFillTint="33"/>
          </w:tcPr>
          <w:p w14:paraId="115C098C" w14:textId="486E6DBB" w:rsidR="5B07DC10" w:rsidRDefault="5B07DC10" w:rsidP="45BEB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2ECB6388" w14:textId="77777777" w:rsidTr="57EEB538">
        <w:trPr>
          <w:trHeight w:val="1170"/>
        </w:trPr>
        <w:tc>
          <w:tcPr>
            <w:tcW w:w="10455" w:type="dxa"/>
            <w:gridSpan w:val="3"/>
            <w:shd w:val="clear" w:color="auto" w:fill="C1E4F5" w:themeFill="accent1" w:themeFillTint="33"/>
          </w:tcPr>
          <w:p w14:paraId="7E2CA21E" w14:textId="213039A5" w:rsidR="5B07DC10" w:rsidRDefault="009A55BA" w:rsidP="45BEB2A4">
            <w:pPr>
              <w:rPr>
                <w:rFonts w:ascii="Aptos" w:eastAsia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This years CIC</w:t>
            </w:r>
            <w:r w:rsidR="00680CE0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 xml:space="preserve"> work has been about developing a closer working relationship with Education Scotland through </w:t>
            </w:r>
            <w:r w:rsidR="00846861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 xml:space="preserve">an online presentation by Ollie Bray and </w:t>
            </w:r>
            <w:r w:rsidR="003F646F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workshop with key Education Scotland staff.  This resulted in around 10 SAPOE representative</w:t>
            </w:r>
            <w:r w:rsidR="002F0071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s attending subject collaboration groups.</w:t>
            </w:r>
            <w:r w:rsidR="00C87316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 xml:space="preserve">  Next steps are to continue the engagement Aug-Sep during the next phase of curriculum development.</w:t>
            </w:r>
          </w:p>
        </w:tc>
      </w:tr>
      <w:tr w:rsidR="5B07DC10" w14:paraId="4E3B1957" w14:textId="77777777" w:rsidTr="57EEB538">
        <w:trPr>
          <w:trHeight w:val="300"/>
        </w:trPr>
        <w:tc>
          <w:tcPr>
            <w:tcW w:w="6870" w:type="dxa"/>
            <w:shd w:val="clear" w:color="auto" w:fill="F2F2F2" w:themeFill="background1" w:themeFillShade="F2"/>
          </w:tcPr>
          <w:p w14:paraId="3AE68E5B" w14:textId="4965EE88" w:rsidR="5B07DC10" w:rsidRDefault="5258AA95" w:rsidP="45BEB2A4">
            <w:pPr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>SOLSWG meetings and Providing SAPOE responses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7D2BD579" w14:textId="1E0F2079" w:rsidR="5B07DC10" w:rsidRDefault="5258AA95" w:rsidP="45BEB2A4">
            <w:pPr>
              <w:jc w:val="center"/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0330B10" w14:textId="4B6A0371" w:rsidR="5B07DC10" w:rsidRDefault="5B07DC10" w:rsidP="45BEB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33831DCF" w14:textId="77777777" w:rsidTr="57EEB538">
        <w:trPr>
          <w:trHeight w:val="690"/>
        </w:trPr>
        <w:tc>
          <w:tcPr>
            <w:tcW w:w="10455" w:type="dxa"/>
            <w:gridSpan w:val="3"/>
            <w:shd w:val="clear" w:color="auto" w:fill="F2F2F2" w:themeFill="background1" w:themeFillShade="F2"/>
          </w:tcPr>
          <w:p w14:paraId="0D32E1E6" w14:textId="77777777" w:rsidR="5B07DC10" w:rsidRDefault="188E210F" w:rsidP="45BEB2A4">
            <w:pPr>
              <w:rPr>
                <w:rFonts w:ascii="Aptos" w:eastAsia="Aptos" w:hAnsi="Aptos"/>
                <w:color w:val="000000" w:themeColor="text1"/>
                <w:sz w:val="22"/>
                <w:szCs w:val="22"/>
              </w:rPr>
            </w:pPr>
            <w:r w:rsidRPr="67769F0D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 xml:space="preserve">Continued to contribute to the work of the group </w:t>
            </w:r>
            <w:proofErr w:type="gramStart"/>
            <w:r w:rsidRPr="67769F0D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and also</w:t>
            </w:r>
            <w:proofErr w:type="gramEnd"/>
            <w:r w:rsidRPr="67769F0D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 xml:space="preserve"> facilitated the sharing of information with the SAPOE CIC group.  Coordinated SAPOE feedback to draft recommendations.</w:t>
            </w:r>
          </w:p>
          <w:p w14:paraId="68385441" w14:textId="56259066" w:rsidR="003A216A" w:rsidRDefault="003A216A" w:rsidP="45BEB2A4">
            <w:pPr>
              <w:rPr>
                <w:rFonts w:ascii="Aptos" w:eastAsia="Aptos" w:hAnsi="Aptos"/>
                <w:sz w:val="22"/>
                <w:szCs w:val="22"/>
              </w:rPr>
            </w:pPr>
            <w:r>
              <w:rPr>
                <w:rFonts w:ascii="Aptos" w:eastAsia="Aptos" w:hAnsi="Aptos"/>
                <w:sz w:val="22"/>
                <w:szCs w:val="22"/>
              </w:rPr>
              <w:t>This group is currently paused until new ministers are appointed</w:t>
            </w:r>
          </w:p>
        </w:tc>
      </w:tr>
      <w:tr w:rsidR="5B07DC10" w14:paraId="5D60BE16" w14:textId="77777777" w:rsidTr="57EEB538">
        <w:trPr>
          <w:trHeight w:val="300"/>
        </w:trPr>
        <w:tc>
          <w:tcPr>
            <w:tcW w:w="6870" w:type="dxa"/>
            <w:shd w:val="clear" w:color="auto" w:fill="C1E4F5" w:themeFill="accent1" w:themeFillTint="33"/>
          </w:tcPr>
          <w:p w14:paraId="6434FB0D" w14:textId="7E529311" w:rsidR="5B07DC10" w:rsidRDefault="00032A65" w:rsidP="45BEB2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Partners Communications</w:t>
            </w:r>
          </w:p>
        </w:tc>
        <w:tc>
          <w:tcPr>
            <w:tcW w:w="1635" w:type="dxa"/>
            <w:shd w:val="clear" w:color="auto" w:fill="C1E4F5" w:themeFill="accent1" w:themeFillTint="33"/>
          </w:tcPr>
          <w:p w14:paraId="489B36B9" w14:textId="6E194754" w:rsidR="5B07DC10" w:rsidRDefault="1207123E" w:rsidP="45BEB2A4">
            <w:pPr>
              <w:jc w:val="center"/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950" w:type="dxa"/>
            <w:shd w:val="clear" w:color="auto" w:fill="C1E4F5" w:themeFill="accent1" w:themeFillTint="33"/>
          </w:tcPr>
          <w:p w14:paraId="229F062D" w14:textId="4C661072" w:rsidR="5B07DC10" w:rsidRDefault="5B07DC10" w:rsidP="45BEB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0E369527" w14:textId="77777777" w:rsidTr="57EEB538">
        <w:trPr>
          <w:trHeight w:val="465"/>
        </w:trPr>
        <w:tc>
          <w:tcPr>
            <w:tcW w:w="10455" w:type="dxa"/>
            <w:gridSpan w:val="3"/>
            <w:shd w:val="clear" w:color="auto" w:fill="C1E4F5" w:themeFill="accent1" w:themeFillTint="33"/>
          </w:tcPr>
          <w:p w14:paraId="7644B582" w14:textId="16A53FF9" w:rsidR="5B07DC10" w:rsidRDefault="00032A65" w:rsidP="5B07D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with SAAF, AHOEC</w:t>
            </w:r>
            <w:r w:rsidR="00461B0B">
              <w:rPr>
                <w:sz w:val="22"/>
                <w:szCs w:val="22"/>
              </w:rPr>
              <w:t>, Education Scotland, ADES</w:t>
            </w:r>
            <w:r w:rsidR="00732CCF">
              <w:rPr>
                <w:sz w:val="22"/>
                <w:szCs w:val="22"/>
              </w:rPr>
              <w:t xml:space="preserve">, Scottish Government, </w:t>
            </w:r>
            <w:r w:rsidR="00731FB6">
              <w:rPr>
                <w:sz w:val="22"/>
                <w:szCs w:val="22"/>
              </w:rPr>
              <w:t>Nature Scot</w:t>
            </w:r>
            <w:r w:rsidR="00732CCF">
              <w:rPr>
                <w:sz w:val="22"/>
                <w:szCs w:val="22"/>
              </w:rPr>
              <w:t xml:space="preserve"> and other partners.</w:t>
            </w:r>
          </w:p>
        </w:tc>
      </w:tr>
      <w:tr w:rsidR="5B07DC10" w14:paraId="38293AE8" w14:textId="77777777" w:rsidTr="57EEB538">
        <w:trPr>
          <w:trHeight w:val="300"/>
        </w:trPr>
        <w:tc>
          <w:tcPr>
            <w:tcW w:w="6870" w:type="dxa"/>
            <w:shd w:val="clear" w:color="auto" w:fill="F2F2F2" w:themeFill="background1" w:themeFillShade="F2"/>
          </w:tcPr>
          <w:p w14:paraId="6779C8E7" w14:textId="538C7F59" w:rsidR="5B07DC10" w:rsidRDefault="09FE0634" w:rsidP="45BEB2A4">
            <w:pPr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>Website Updates and Organisation</w:t>
            </w:r>
            <w:r w:rsidR="383B67F3" w:rsidRPr="45BEB2A4">
              <w:rPr>
                <w:b/>
                <w:bCs/>
                <w:sz w:val="22"/>
                <w:szCs w:val="22"/>
              </w:rPr>
              <w:t>, MS365 Management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70CBB5B" w14:textId="008F45FC" w:rsidR="5B07DC10" w:rsidRDefault="09FE0634" w:rsidP="45BEB2A4">
            <w:pPr>
              <w:jc w:val="center"/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>8.1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0C693775" w14:textId="72A2CCFC" w:rsidR="5B07DC10" w:rsidRDefault="5B07DC10" w:rsidP="45BEB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17FB9894" w14:textId="77777777" w:rsidTr="57EEB538">
        <w:trPr>
          <w:trHeight w:val="300"/>
        </w:trPr>
        <w:tc>
          <w:tcPr>
            <w:tcW w:w="10455" w:type="dxa"/>
            <w:gridSpan w:val="3"/>
            <w:shd w:val="clear" w:color="auto" w:fill="F2F2F2" w:themeFill="background1" w:themeFillShade="F2"/>
          </w:tcPr>
          <w:p w14:paraId="1FBB29A8" w14:textId="0929B604" w:rsidR="5B07DC10" w:rsidRDefault="065378D6" w:rsidP="5B07DC10">
            <w:pPr>
              <w:rPr>
                <w:sz w:val="22"/>
                <w:szCs w:val="22"/>
              </w:rPr>
            </w:pPr>
            <w:r w:rsidRPr="78434089">
              <w:rPr>
                <w:sz w:val="22"/>
                <w:szCs w:val="22"/>
              </w:rPr>
              <w:t xml:space="preserve">Regular catching up </w:t>
            </w:r>
            <w:r w:rsidR="7CF1E962" w:rsidRPr="78434089">
              <w:rPr>
                <w:sz w:val="22"/>
                <w:szCs w:val="22"/>
              </w:rPr>
              <w:t xml:space="preserve">with web host and MS365 support to ensure </w:t>
            </w:r>
            <w:r w:rsidR="783CC12B" w:rsidRPr="78434089">
              <w:rPr>
                <w:sz w:val="22"/>
                <w:szCs w:val="22"/>
              </w:rPr>
              <w:t>systems are operating in an efficient way to support the organisation.</w:t>
            </w:r>
            <w:r w:rsidR="00C95412">
              <w:rPr>
                <w:sz w:val="22"/>
                <w:szCs w:val="22"/>
              </w:rPr>
              <w:t xml:space="preserve">  Started the process of some</w:t>
            </w:r>
            <w:r w:rsidR="006A64EC">
              <w:rPr>
                <w:sz w:val="22"/>
                <w:szCs w:val="22"/>
              </w:rPr>
              <w:t xml:space="preserve"> layout</w:t>
            </w:r>
            <w:r w:rsidR="00C95412">
              <w:rPr>
                <w:sz w:val="22"/>
                <w:szCs w:val="22"/>
              </w:rPr>
              <w:t xml:space="preserve"> improvements to the website.</w:t>
            </w:r>
          </w:p>
        </w:tc>
      </w:tr>
      <w:tr w:rsidR="5B07DC10" w14:paraId="7134EECA" w14:textId="77777777" w:rsidTr="57EEB538">
        <w:trPr>
          <w:trHeight w:val="300"/>
        </w:trPr>
        <w:tc>
          <w:tcPr>
            <w:tcW w:w="6870" w:type="dxa"/>
            <w:shd w:val="clear" w:color="auto" w:fill="C1E4F5" w:themeFill="accent1" w:themeFillTint="33"/>
          </w:tcPr>
          <w:p w14:paraId="07982BDD" w14:textId="223350D5" w:rsidR="5B07DC10" w:rsidRDefault="1A4B9137" w:rsidP="45BEB2A4">
            <w:pPr>
              <w:rPr>
                <w:b/>
                <w:bCs/>
                <w:sz w:val="22"/>
                <w:szCs w:val="22"/>
              </w:rPr>
            </w:pPr>
            <w:r w:rsidRPr="2B3B5435">
              <w:rPr>
                <w:b/>
                <w:bCs/>
                <w:sz w:val="22"/>
                <w:szCs w:val="22"/>
              </w:rPr>
              <w:t xml:space="preserve">Residential OE </w:t>
            </w:r>
            <w:r w:rsidR="003A216A">
              <w:rPr>
                <w:b/>
                <w:bCs/>
                <w:sz w:val="22"/>
                <w:szCs w:val="22"/>
              </w:rPr>
              <w:t xml:space="preserve">Guiding </w:t>
            </w:r>
            <w:r w:rsidR="0E397A92" w:rsidRPr="2B3B5435">
              <w:rPr>
                <w:b/>
                <w:bCs/>
                <w:sz w:val="22"/>
                <w:szCs w:val="22"/>
              </w:rPr>
              <w:t>Framework</w:t>
            </w:r>
          </w:p>
        </w:tc>
        <w:tc>
          <w:tcPr>
            <w:tcW w:w="1635" w:type="dxa"/>
            <w:shd w:val="clear" w:color="auto" w:fill="C1E4F5" w:themeFill="accent1" w:themeFillTint="33"/>
          </w:tcPr>
          <w:p w14:paraId="49B56FBF" w14:textId="33674FC8" w:rsidR="5B07DC10" w:rsidRDefault="1A4B9137" w:rsidP="45BEB2A4">
            <w:pPr>
              <w:jc w:val="center"/>
              <w:rPr>
                <w:b/>
                <w:bCs/>
                <w:sz w:val="22"/>
                <w:szCs w:val="22"/>
              </w:rPr>
            </w:pPr>
            <w:r w:rsidRPr="45BEB2A4">
              <w:rPr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950" w:type="dxa"/>
            <w:shd w:val="clear" w:color="auto" w:fill="C1E4F5" w:themeFill="accent1" w:themeFillTint="33"/>
          </w:tcPr>
          <w:p w14:paraId="1FFCC792" w14:textId="094C5E77" w:rsidR="5B07DC10" w:rsidRDefault="5B07DC10" w:rsidP="45BEB2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5B07DC10" w14:paraId="5152CFEF" w14:textId="77777777" w:rsidTr="57EEB538">
        <w:trPr>
          <w:trHeight w:val="930"/>
        </w:trPr>
        <w:tc>
          <w:tcPr>
            <w:tcW w:w="10455" w:type="dxa"/>
            <w:gridSpan w:val="3"/>
            <w:shd w:val="clear" w:color="auto" w:fill="C1E4F5" w:themeFill="accent1" w:themeFillTint="33"/>
          </w:tcPr>
          <w:p w14:paraId="4131BEEF" w14:textId="77777777" w:rsidR="00BD25C6" w:rsidRDefault="751D7C91" w:rsidP="4692ABAF">
            <w:pPr>
              <w:rPr>
                <w:rFonts w:ascii="Aptos" w:eastAsia="Aptos" w:hAnsi="Aptos"/>
                <w:color w:val="000000" w:themeColor="text1"/>
                <w:sz w:val="22"/>
                <w:szCs w:val="22"/>
              </w:rPr>
            </w:pPr>
            <w:r w:rsidRPr="4692ABAF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Working alongside ES and AHOEC to produce this guidance document as a template for schools and centres to ensure the residential experience is one of value, justifies costs and time and meets the needs of learners.</w:t>
            </w:r>
          </w:p>
          <w:p w14:paraId="5AE8D54B" w14:textId="33286CE7" w:rsidR="5B07DC10" w:rsidRDefault="00BD25C6" w:rsidP="4692ABAF">
            <w:pPr>
              <w:rPr>
                <w:rFonts w:ascii="Aptos" w:eastAsia="Aptos" w:hAnsi="Aptos"/>
                <w:sz w:val="22"/>
                <w:szCs w:val="22"/>
              </w:rPr>
            </w:pPr>
            <w:r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SAPOE continue to contribute to this group as a pilot project is planned to introduce the framework.</w:t>
            </w:r>
            <w:r w:rsidR="751D7C91" w:rsidRPr="4692ABAF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 xml:space="preserve">  </w:t>
            </w:r>
            <w:r w:rsidR="751D7C91" w:rsidRPr="4692ABAF">
              <w:rPr>
                <w:rFonts w:ascii="Aptos" w:eastAsia="Aptos" w:hAnsi="Aptos"/>
                <w:sz w:val="22"/>
                <w:szCs w:val="22"/>
              </w:rPr>
              <w:t xml:space="preserve"> </w:t>
            </w:r>
          </w:p>
        </w:tc>
      </w:tr>
      <w:tr w:rsidR="78434089" w14:paraId="655C1F9B" w14:textId="77777777" w:rsidTr="57EEB538">
        <w:trPr>
          <w:trHeight w:val="300"/>
        </w:trPr>
        <w:tc>
          <w:tcPr>
            <w:tcW w:w="10455" w:type="dxa"/>
            <w:gridSpan w:val="3"/>
            <w:shd w:val="clear" w:color="auto" w:fill="F2F2F2" w:themeFill="background1" w:themeFillShade="F2"/>
          </w:tcPr>
          <w:p w14:paraId="22A1C0D6" w14:textId="7FC218C8" w:rsidR="2BC85EC9" w:rsidRDefault="2BC85EC9" w:rsidP="78434089">
            <w:r w:rsidRPr="78434089">
              <w:rPr>
                <w:b/>
                <w:bCs/>
                <w:sz w:val="22"/>
                <w:szCs w:val="22"/>
              </w:rPr>
              <w:t>GOT Working Group</w:t>
            </w:r>
          </w:p>
        </w:tc>
      </w:tr>
      <w:tr w:rsidR="78434089" w14:paraId="4BE6CB89" w14:textId="77777777" w:rsidTr="57EEB538">
        <w:trPr>
          <w:trHeight w:val="300"/>
        </w:trPr>
        <w:tc>
          <w:tcPr>
            <w:tcW w:w="10455" w:type="dxa"/>
            <w:gridSpan w:val="3"/>
            <w:shd w:val="clear" w:color="auto" w:fill="F2F2F2" w:themeFill="background1" w:themeFillShade="F2"/>
          </w:tcPr>
          <w:p w14:paraId="66E44CFC" w14:textId="1C6B6F36" w:rsidR="145DEF53" w:rsidRDefault="145DEF53" w:rsidP="78434089">
            <w:pPr>
              <w:rPr>
                <w:rFonts w:ascii="Aptos" w:eastAsia="Aptos" w:hAnsi="Aptos"/>
                <w:sz w:val="22"/>
                <w:szCs w:val="22"/>
              </w:rPr>
            </w:pPr>
            <w:r w:rsidRPr="78434089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Active member of the GOT working group supporting with admin, basic website work and assisting with reviewing and developing new material.</w:t>
            </w:r>
            <w:r w:rsidR="78434089" w:rsidRPr="78434089">
              <w:rPr>
                <w:rFonts w:ascii="Aptos" w:eastAsia="Aptos" w:hAnsi="Aptos"/>
                <w:sz w:val="22"/>
                <w:szCs w:val="22"/>
              </w:rPr>
              <w:t xml:space="preserve"> </w:t>
            </w:r>
          </w:p>
        </w:tc>
      </w:tr>
      <w:tr w:rsidR="78434089" w14:paraId="7E543F02" w14:textId="77777777" w:rsidTr="00731FB6">
        <w:trPr>
          <w:trHeight w:val="300"/>
        </w:trPr>
        <w:tc>
          <w:tcPr>
            <w:tcW w:w="10455" w:type="dxa"/>
            <w:gridSpan w:val="3"/>
            <w:shd w:val="clear" w:color="auto" w:fill="C1E4F5" w:themeFill="accent1" w:themeFillTint="33"/>
          </w:tcPr>
          <w:p w14:paraId="154F0963" w14:textId="32263424" w:rsidR="0D188BAF" w:rsidRDefault="0D188BAF" w:rsidP="78434089">
            <w:r w:rsidRPr="78434089">
              <w:rPr>
                <w:rFonts w:ascii="Aptos" w:eastAsia="Aptos" w:hAnsi="Aptos"/>
                <w:b/>
                <w:bCs/>
                <w:color w:val="000000" w:themeColor="text1"/>
                <w:sz w:val="22"/>
                <w:szCs w:val="22"/>
              </w:rPr>
              <w:t>Training Working Group</w:t>
            </w:r>
          </w:p>
        </w:tc>
      </w:tr>
      <w:tr w:rsidR="78434089" w14:paraId="1A15F8F9" w14:textId="77777777" w:rsidTr="00731FB6">
        <w:trPr>
          <w:trHeight w:val="300"/>
        </w:trPr>
        <w:tc>
          <w:tcPr>
            <w:tcW w:w="10455" w:type="dxa"/>
            <w:gridSpan w:val="3"/>
            <w:shd w:val="clear" w:color="auto" w:fill="C1E4F5" w:themeFill="accent1" w:themeFillTint="33"/>
          </w:tcPr>
          <w:p w14:paraId="420943F3" w14:textId="2DD05E7F" w:rsidR="27378E71" w:rsidRDefault="27378E71" w:rsidP="78434089">
            <w:pPr>
              <w:rPr>
                <w:rFonts w:ascii="Aptos" w:eastAsia="Aptos" w:hAnsi="Aptos"/>
                <w:sz w:val="22"/>
                <w:szCs w:val="22"/>
              </w:rPr>
            </w:pPr>
            <w:r w:rsidRPr="78434089">
              <w:rPr>
                <w:rFonts w:ascii="Aptos" w:eastAsia="Aptos" w:hAnsi="Aptos"/>
                <w:color w:val="000000" w:themeColor="text1"/>
                <w:sz w:val="22"/>
                <w:szCs w:val="22"/>
              </w:rPr>
              <w:t>Active member of the SAPOE Training working group supporting with admin, basic website work and assisting with reviewing and developing new material.</w:t>
            </w:r>
          </w:p>
        </w:tc>
      </w:tr>
    </w:tbl>
    <w:p w14:paraId="032E2407" w14:textId="246F268F" w:rsidR="45BEB2A4" w:rsidRDefault="45BEB2A4" w:rsidP="45BEB2A4"/>
    <w:p w14:paraId="1929DD97" w14:textId="77777777" w:rsidR="00BD25C6" w:rsidRDefault="00BD25C6">
      <w:pPr>
        <w:rPr>
          <w:b/>
          <w:bCs/>
        </w:rPr>
      </w:pPr>
      <w:r>
        <w:rPr>
          <w:b/>
          <w:bCs/>
        </w:rPr>
        <w:br w:type="page"/>
      </w:r>
    </w:p>
    <w:p w14:paraId="751E84A8" w14:textId="30E69689" w:rsidR="692054D9" w:rsidRDefault="692054D9" w:rsidP="72EAC9C9">
      <w:pPr>
        <w:rPr>
          <w:b/>
          <w:bCs/>
        </w:rPr>
      </w:pPr>
      <w:r w:rsidRPr="78434089">
        <w:rPr>
          <w:b/>
          <w:bCs/>
        </w:rPr>
        <w:lastRenderedPageBreak/>
        <w:t xml:space="preserve">Potential </w:t>
      </w:r>
      <w:r w:rsidR="5D72F99F" w:rsidRPr="78434089">
        <w:rPr>
          <w:b/>
          <w:bCs/>
        </w:rPr>
        <w:t xml:space="preserve">2026-27 </w:t>
      </w:r>
      <w:r w:rsidRPr="78434089">
        <w:rPr>
          <w:b/>
          <w:bCs/>
        </w:rPr>
        <w:t>Priorities</w:t>
      </w:r>
    </w:p>
    <w:p w14:paraId="65E729AA" w14:textId="51BD7B50" w:rsidR="03CEC8DE" w:rsidRDefault="03CEC8DE" w:rsidP="45BEB2A4">
      <w:r>
        <w:t xml:space="preserve">Expand membership options </w:t>
      </w:r>
      <w:r w:rsidR="02C76E85">
        <w:t>(</w:t>
      </w:r>
      <w:r w:rsidR="38D44DAE">
        <w:t>Action</w:t>
      </w:r>
      <w:r>
        <w:t>1.5</w:t>
      </w:r>
      <w:r w:rsidR="6FD5889F">
        <w:t>)</w:t>
      </w:r>
    </w:p>
    <w:p w14:paraId="31F36D7A" w14:textId="70D2D628" w:rsidR="03CEC8DE" w:rsidRDefault="03CEC8DE" w:rsidP="45BEB2A4">
      <w:r>
        <w:t xml:space="preserve">Generate income/funding around training </w:t>
      </w:r>
      <w:r w:rsidR="7A258C98">
        <w:t>(</w:t>
      </w:r>
      <w:r w:rsidR="4C832AF2">
        <w:t xml:space="preserve">Action </w:t>
      </w:r>
      <w:r>
        <w:t>2.2</w:t>
      </w:r>
      <w:r w:rsidR="31402308">
        <w:t>)</w:t>
      </w:r>
    </w:p>
    <w:p w14:paraId="38CE413E" w14:textId="64F65DF4" w:rsidR="03CEC8DE" w:rsidRDefault="03CEC8DE" w:rsidP="45BEB2A4">
      <w:r>
        <w:t>Active recruitment of exec</w:t>
      </w:r>
      <w:r w:rsidR="683F28F7">
        <w:t xml:space="preserve"> posts</w:t>
      </w:r>
      <w:r>
        <w:t xml:space="preserve"> </w:t>
      </w:r>
      <w:r w:rsidR="10AAD3C7">
        <w:t>(</w:t>
      </w:r>
      <w:r w:rsidR="6A219038">
        <w:t xml:space="preserve">Action </w:t>
      </w:r>
      <w:r>
        <w:t>3.2</w:t>
      </w:r>
      <w:r w:rsidR="71300307">
        <w:t>)</w:t>
      </w:r>
    </w:p>
    <w:p w14:paraId="58A3BC24" w14:textId="63EA6BF7" w:rsidR="03CEC8DE" w:rsidRDefault="03CEC8DE" w:rsidP="45BEB2A4">
      <w:r>
        <w:t xml:space="preserve">Rewrite training outcomes </w:t>
      </w:r>
      <w:r w:rsidR="6E516638">
        <w:t xml:space="preserve">Actions </w:t>
      </w:r>
      <w:r w:rsidR="44A922BC">
        <w:t>(</w:t>
      </w:r>
      <w:r>
        <w:t>6 &amp; 7</w:t>
      </w:r>
      <w:r w:rsidR="4BB2E4BC">
        <w:t>)</w:t>
      </w:r>
      <w:r>
        <w:t xml:space="preserve"> </w:t>
      </w:r>
    </w:p>
    <w:p w14:paraId="48A1996B" w14:textId="41E8F674" w:rsidR="03CEC8DE" w:rsidRDefault="03CEC8DE" w:rsidP="45BEB2A4">
      <w:r>
        <w:t xml:space="preserve">Further improvements to website functions </w:t>
      </w:r>
      <w:r w:rsidR="653BD003">
        <w:t xml:space="preserve">(Outcome </w:t>
      </w:r>
      <w:r>
        <w:t>8</w:t>
      </w:r>
      <w:r w:rsidR="216F9793">
        <w:t>)</w:t>
      </w:r>
    </w:p>
    <w:p w14:paraId="52AD6ECF" w14:textId="3A474861" w:rsidR="03CEC8DE" w:rsidRDefault="03CEC8DE" w:rsidP="45BEB2A4">
      <w:r>
        <w:t xml:space="preserve">Guidance for </w:t>
      </w:r>
      <w:r w:rsidR="5EED43BA">
        <w:t xml:space="preserve">LA </w:t>
      </w:r>
      <w:r>
        <w:t>on</w:t>
      </w:r>
      <w:r w:rsidR="6D22FCBE">
        <w:t xml:space="preserve"> skills criteria for members</w:t>
      </w:r>
      <w:r w:rsidR="00122D22">
        <w:t xml:space="preserve"> (linked to Action 1.3)</w:t>
      </w:r>
    </w:p>
    <w:sectPr w:rsidR="03CEC8DE" w:rsidSect="001D0669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30085"/>
    <w:multiLevelType w:val="hybridMultilevel"/>
    <w:tmpl w:val="3A785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2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9E"/>
    <w:rsid w:val="00000EB5"/>
    <w:rsid w:val="00025FB6"/>
    <w:rsid w:val="00032A65"/>
    <w:rsid w:val="00045A01"/>
    <w:rsid w:val="00046D86"/>
    <w:rsid w:val="00047AFB"/>
    <w:rsid w:val="00055760"/>
    <w:rsid w:val="00055949"/>
    <w:rsid w:val="00057CD0"/>
    <w:rsid w:val="000613C2"/>
    <w:rsid w:val="00070E12"/>
    <w:rsid w:val="00073F0E"/>
    <w:rsid w:val="00075575"/>
    <w:rsid w:val="00075B94"/>
    <w:rsid w:val="00081DCF"/>
    <w:rsid w:val="000835B1"/>
    <w:rsid w:val="00090C16"/>
    <w:rsid w:val="000977FC"/>
    <w:rsid w:val="000B1DC1"/>
    <w:rsid w:val="000B2882"/>
    <w:rsid w:val="000B6899"/>
    <w:rsid w:val="000C1356"/>
    <w:rsid w:val="000C259A"/>
    <w:rsid w:val="000D4B1D"/>
    <w:rsid w:val="000D502A"/>
    <w:rsid w:val="0012041D"/>
    <w:rsid w:val="001212F7"/>
    <w:rsid w:val="00121AF5"/>
    <w:rsid w:val="00122D22"/>
    <w:rsid w:val="001239D7"/>
    <w:rsid w:val="00124AF0"/>
    <w:rsid w:val="00124CA3"/>
    <w:rsid w:val="00127948"/>
    <w:rsid w:val="001429B9"/>
    <w:rsid w:val="00156951"/>
    <w:rsid w:val="001614DF"/>
    <w:rsid w:val="001618D7"/>
    <w:rsid w:val="001633A1"/>
    <w:rsid w:val="00164908"/>
    <w:rsid w:val="00165B16"/>
    <w:rsid w:val="00173CBC"/>
    <w:rsid w:val="00176862"/>
    <w:rsid w:val="00181390"/>
    <w:rsid w:val="001817B5"/>
    <w:rsid w:val="0018606D"/>
    <w:rsid w:val="001A288C"/>
    <w:rsid w:val="001B22DE"/>
    <w:rsid w:val="001B2992"/>
    <w:rsid w:val="001B6DF9"/>
    <w:rsid w:val="001C1855"/>
    <w:rsid w:val="001C1E90"/>
    <w:rsid w:val="001C2213"/>
    <w:rsid w:val="001C2524"/>
    <w:rsid w:val="001C45BD"/>
    <w:rsid w:val="001D0669"/>
    <w:rsid w:val="001D2F7B"/>
    <w:rsid w:val="001D3602"/>
    <w:rsid w:val="001E01B1"/>
    <w:rsid w:val="001E4F19"/>
    <w:rsid w:val="001E689E"/>
    <w:rsid w:val="001F33C5"/>
    <w:rsid w:val="00207988"/>
    <w:rsid w:val="002112F2"/>
    <w:rsid w:val="00222A54"/>
    <w:rsid w:val="00233C95"/>
    <w:rsid w:val="00240C42"/>
    <w:rsid w:val="00241C92"/>
    <w:rsid w:val="002610A9"/>
    <w:rsid w:val="002640A8"/>
    <w:rsid w:val="0026649C"/>
    <w:rsid w:val="00270F08"/>
    <w:rsid w:val="002721DB"/>
    <w:rsid w:val="002861C9"/>
    <w:rsid w:val="00286C58"/>
    <w:rsid w:val="00287691"/>
    <w:rsid w:val="0029181F"/>
    <w:rsid w:val="002A2073"/>
    <w:rsid w:val="002C6B1A"/>
    <w:rsid w:val="002D3C34"/>
    <w:rsid w:val="002D3FD5"/>
    <w:rsid w:val="002E3DCC"/>
    <w:rsid w:val="002E5C5F"/>
    <w:rsid w:val="002F0071"/>
    <w:rsid w:val="002F64C9"/>
    <w:rsid w:val="002F6B31"/>
    <w:rsid w:val="003035F7"/>
    <w:rsid w:val="00306052"/>
    <w:rsid w:val="00311529"/>
    <w:rsid w:val="00324869"/>
    <w:rsid w:val="00327CEB"/>
    <w:rsid w:val="00333590"/>
    <w:rsid w:val="00345FCC"/>
    <w:rsid w:val="00351706"/>
    <w:rsid w:val="00357E07"/>
    <w:rsid w:val="003745F9"/>
    <w:rsid w:val="00384AAC"/>
    <w:rsid w:val="00390668"/>
    <w:rsid w:val="00393DA7"/>
    <w:rsid w:val="003A216A"/>
    <w:rsid w:val="003A56B4"/>
    <w:rsid w:val="003B54F2"/>
    <w:rsid w:val="003B5C0B"/>
    <w:rsid w:val="003C3131"/>
    <w:rsid w:val="003D1CD7"/>
    <w:rsid w:val="003D6604"/>
    <w:rsid w:val="003E26C4"/>
    <w:rsid w:val="003F4477"/>
    <w:rsid w:val="003F646F"/>
    <w:rsid w:val="00412960"/>
    <w:rsid w:val="0042225C"/>
    <w:rsid w:val="00427121"/>
    <w:rsid w:val="00431F0F"/>
    <w:rsid w:val="004507BA"/>
    <w:rsid w:val="00450D7A"/>
    <w:rsid w:val="00454D90"/>
    <w:rsid w:val="00456AE7"/>
    <w:rsid w:val="00456D1B"/>
    <w:rsid w:val="00461B0B"/>
    <w:rsid w:val="00472E98"/>
    <w:rsid w:val="00474822"/>
    <w:rsid w:val="00474A45"/>
    <w:rsid w:val="00474F10"/>
    <w:rsid w:val="004815B1"/>
    <w:rsid w:val="00494465"/>
    <w:rsid w:val="004A3669"/>
    <w:rsid w:val="004A650C"/>
    <w:rsid w:val="004B1728"/>
    <w:rsid w:val="004C5014"/>
    <w:rsid w:val="004D11C6"/>
    <w:rsid w:val="004D3DA7"/>
    <w:rsid w:val="004F02F6"/>
    <w:rsid w:val="004F459E"/>
    <w:rsid w:val="00503150"/>
    <w:rsid w:val="00520217"/>
    <w:rsid w:val="00535620"/>
    <w:rsid w:val="00540E2F"/>
    <w:rsid w:val="00542865"/>
    <w:rsid w:val="00543A11"/>
    <w:rsid w:val="00547DB9"/>
    <w:rsid w:val="00550091"/>
    <w:rsid w:val="00550187"/>
    <w:rsid w:val="00553B8E"/>
    <w:rsid w:val="00554DF4"/>
    <w:rsid w:val="005567E2"/>
    <w:rsid w:val="005637AF"/>
    <w:rsid w:val="00565195"/>
    <w:rsid w:val="0056669D"/>
    <w:rsid w:val="00572EDC"/>
    <w:rsid w:val="00580C15"/>
    <w:rsid w:val="00581105"/>
    <w:rsid w:val="005A38D1"/>
    <w:rsid w:val="005A4054"/>
    <w:rsid w:val="005B389A"/>
    <w:rsid w:val="005B431D"/>
    <w:rsid w:val="005C1956"/>
    <w:rsid w:val="005D175D"/>
    <w:rsid w:val="005E0EAD"/>
    <w:rsid w:val="005E2029"/>
    <w:rsid w:val="005E58C6"/>
    <w:rsid w:val="005F06D0"/>
    <w:rsid w:val="005F2827"/>
    <w:rsid w:val="005F68B9"/>
    <w:rsid w:val="006023A9"/>
    <w:rsid w:val="0060374A"/>
    <w:rsid w:val="00603838"/>
    <w:rsid w:val="00623BF5"/>
    <w:rsid w:val="00625458"/>
    <w:rsid w:val="0063368C"/>
    <w:rsid w:val="00634879"/>
    <w:rsid w:val="00636BC3"/>
    <w:rsid w:val="00640C12"/>
    <w:rsid w:val="00645306"/>
    <w:rsid w:val="00647D72"/>
    <w:rsid w:val="0066074C"/>
    <w:rsid w:val="0066088E"/>
    <w:rsid w:val="00670D0F"/>
    <w:rsid w:val="0067424B"/>
    <w:rsid w:val="00674B21"/>
    <w:rsid w:val="00680CE0"/>
    <w:rsid w:val="00684DB1"/>
    <w:rsid w:val="006866EB"/>
    <w:rsid w:val="00687864"/>
    <w:rsid w:val="006910E1"/>
    <w:rsid w:val="006916BE"/>
    <w:rsid w:val="0069659E"/>
    <w:rsid w:val="006A64EC"/>
    <w:rsid w:val="006B29B9"/>
    <w:rsid w:val="006B6651"/>
    <w:rsid w:val="006C6001"/>
    <w:rsid w:val="006D3C8E"/>
    <w:rsid w:val="006D41CC"/>
    <w:rsid w:val="006E2CBD"/>
    <w:rsid w:val="006F02BD"/>
    <w:rsid w:val="006F23C5"/>
    <w:rsid w:val="006F36CA"/>
    <w:rsid w:val="00700102"/>
    <w:rsid w:val="007033AB"/>
    <w:rsid w:val="0070448C"/>
    <w:rsid w:val="00713D58"/>
    <w:rsid w:val="0071663C"/>
    <w:rsid w:val="00717E78"/>
    <w:rsid w:val="00731FB6"/>
    <w:rsid w:val="00732CCF"/>
    <w:rsid w:val="00747BC2"/>
    <w:rsid w:val="0075013B"/>
    <w:rsid w:val="00761EAA"/>
    <w:rsid w:val="00772A43"/>
    <w:rsid w:val="00774007"/>
    <w:rsid w:val="00775BBC"/>
    <w:rsid w:val="00780F68"/>
    <w:rsid w:val="00781E34"/>
    <w:rsid w:val="00787F3D"/>
    <w:rsid w:val="007928CA"/>
    <w:rsid w:val="00793FF8"/>
    <w:rsid w:val="00795A1D"/>
    <w:rsid w:val="0079685B"/>
    <w:rsid w:val="007A4F96"/>
    <w:rsid w:val="007B1A43"/>
    <w:rsid w:val="007B44C4"/>
    <w:rsid w:val="007B7710"/>
    <w:rsid w:val="007C1975"/>
    <w:rsid w:val="007C551A"/>
    <w:rsid w:val="007D75C0"/>
    <w:rsid w:val="007E0B9F"/>
    <w:rsid w:val="007E308C"/>
    <w:rsid w:val="007E69E2"/>
    <w:rsid w:val="007F0947"/>
    <w:rsid w:val="007F3539"/>
    <w:rsid w:val="007F5733"/>
    <w:rsid w:val="00802E85"/>
    <w:rsid w:val="00803453"/>
    <w:rsid w:val="00814C7B"/>
    <w:rsid w:val="00817967"/>
    <w:rsid w:val="00823226"/>
    <w:rsid w:val="00826D5C"/>
    <w:rsid w:val="00834E95"/>
    <w:rsid w:val="00836D92"/>
    <w:rsid w:val="00846861"/>
    <w:rsid w:val="00847AE0"/>
    <w:rsid w:val="00860444"/>
    <w:rsid w:val="00873F91"/>
    <w:rsid w:val="008834F2"/>
    <w:rsid w:val="008856B8"/>
    <w:rsid w:val="00892F9B"/>
    <w:rsid w:val="008A020F"/>
    <w:rsid w:val="008A5852"/>
    <w:rsid w:val="008B3AD1"/>
    <w:rsid w:val="008B52DB"/>
    <w:rsid w:val="008C50C4"/>
    <w:rsid w:val="008E35C7"/>
    <w:rsid w:val="00901039"/>
    <w:rsid w:val="009059B9"/>
    <w:rsid w:val="009118EC"/>
    <w:rsid w:val="00927A57"/>
    <w:rsid w:val="00941B7C"/>
    <w:rsid w:val="00942D8E"/>
    <w:rsid w:val="00944905"/>
    <w:rsid w:val="00950155"/>
    <w:rsid w:val="00966230"/>
    <w:rsid w:val="009742CE"/>
    <w:rsid w:val="00975629"/>
    <w:rsid w:val="00982023"/>
    <w:rsid w:val="009829F0"/>
    <w:rsid w:val="00997329"/>
    <w:rsid w:val="009A2763"/>
    <w:rsid w:val="009A55BA"/>
    <w:rsid w:val="009A7584"/>
    <w:rsid w:val="009A7C90"/>
    <w:rsid w:val="009B58B5"/>
    <w:rsid w:val="009B723F"/>
    <w:rsid w:val="009C082F"/>
    <w:rsid w:val="009C0F77"/>
    <w:rsid w:val="009D0BF5"/>
    <w:rsid w:val="009D3019"/>
    <w:rsid w:val="009D7106"/>
    <w:rsid w:val="009F0DBF"/>
    <w:rsid w:val="009F2419"/>
    <w:rsid w:val="009F7C0F"/>
    <w:rsid w:val="00A131F5"/>
    <w:rsid w:val="00A13A35"/>
    <w:rsid w:val="00A24536"/>
    <w:rsid w:val="00A245BB"/>
    <w:rsid w:val="00A24CE3"/>
    <w:rsid w:val="00A263B1"/>
    <w:rsid w:val="00A41D70"/>
    <w:rsid w:val="00A427C8"/>
    <w:rsid w:val="00A45765"/>
    <w:rsid w:val="00A45D3F"/>
    <w:rsid w:val="00A46536"/>
    <w:rsid w:val="00A52671"/>
    <w:rsid w:val="00A60904"/>
    <w:rsid w:val="00A646AF"/>
    <w:rsid w:val="00A64A29"/>
    <w:rsid w:val="00A670FA"/>
    <w:rsid w:val="00A71F70"/>
    <w:rsid w:val="00A76EFA"/>
    <w:rsid w:val="00A776FB"/>
    <w:rsid w:val="00A81C02"/>
    <w:rsid w:val="00A90F57"/>
    <w:rsid w:val="00A92AF8"/>
    <w:rsid w:val="00A96375"/>
    <w:rsid w:val="00AA69FB"/>
    <w:rsid w:val="00AB1DA8"/>
    <w:rsid w:val="00AB3FD9"/>
    <w:rsid w:val="00AB4CA7"/>
    <w:rsid w:val="00AB7D9E"/>
    <w:rsid w:val="00AB7E18"/>
    <w:rsid w:val="00AC06D0"/>
    <w:rsid w:val="00AC1605"/>
    <w:rsid w:val="00AC1967"/>
    <w:rsid w:val="00AC2258"/>
    <w:rsid w:val="00AC7525"/>
    <w:rsid w:val="00AD01A1"/>
    <w:rsid w:val="00AD5D0C"/>
    <w:rsid w:val="00B01C2C"/>
    <w:rsid w:val="00B02CEB"/>
    <w:rsid w:val="00B05FC8"/>
    <w:rsid w:val="00B0661B"/>
    <w:rsid w:val="00B11A6B"/>
    <w:rsid w:val="00B12A3C"/>
    <w:rsid w:val="00B15D27"/>
    <w:rsid w:val="00B16BCE"/>
    <w:rsid w:val="00B21F85"/>
    <w:rsid w:val="00B22E8C"/>
    <w:rsid w:val="00B238C1"/>
    <w:rsid w:val="00B31711"/>
    <w:rsid w:val="00B33B74"/>
    <w:rsid w:val="00B43194"/>
    <w:rsid w:val="00B43233"/>
    <w:rsid w:val="00B46FDB"/>
    <w:rsid w:val="00B52376"/>
    <w:rsid w:val="00B555BA"/>
    <w:rsid w:val="00B75073"/>
    <w:rsid w:val="00B875FE"/>
    <w:rsid w:val="00B92675"/>
    <w:rsid w:val="00BA4139"/>
    <w:rsid w:val="00BB052E"/>
    <w:rsid w:val="00BC5CD9"/>
    <w:rsid w:val="00BD25C6"/>
    <w:rsid w:val="00BE03DF"/>
    <w:rsid w:val="00BE528F"/>
    <w:rsid w:val="00BF18E3"/>
    <w:rsid w:val="00BF19EB"/>
    <w:rsid w:val="00BF31DB"/>
    <w:rsid w:val="00BF71B7"/>
    <w:rsid w:val="00C0307E"/>
    <w:rsid w:val="00C234D0"/>
    <w:rsid w:val="00C32944"/>
    <w:rsid w:val="00C36B19"/>
    <w:rsid w:val="00C517D6"/>
    <w:rsid w:val="00C57D41"/>
    <w:rsid w:val="00C664AE"/>
    <w:rsid w:val="00C66754"/>
    <w:rsid w:val="00C6769D"/>
    <w:rsid w:val="00C8010E"/>
    <w:rsid w:val="00C82ECA"/>
    <w:rsid w:val="00C87316"/>
    <w:rsid w:val="00C90244"/>
    <w:rsid w:val="00C95412"/>
    <w:rsid w:val="00C9550E"/>
    <w:rsid w:val="00CB443B"/>
    <w:rsid w:val="00CC0B65"/>
    <w:rsid w:val="00CC14E3"/>
    <w:rsid w:val="00CC3000"/>
    <w:rsid w:val="00CC39B5"/>
    <w:rsid w:val="00CE2ECC"/>
    <w:rsid w:val="00CF7754"/>
    <w:rsid w:val="00D113BB"/>
    <w:rsid w:val="00D11D60"/>
    <w:rsid w:val="00D2143F"/>
    <w:rsid w:val="00D30A47"/>
    <w:rsid w:val="00D43C19"/>
    <w:rsid w:val="00D45292"/>
    <w:rsid w:val="00D470C5"/>
    <w:rsid w:val="00D47509"/>
    <w:rsid w:val="00D62364"/>
    <w:rsid w:val="00D779B7"/>
    <w:rsid w:val="00D80BF3"/>
    <w:rsid w:val="00D90593"/>
    <w:rsid w:val="00D9081B"/>
    <w:rsid w:val="00D96077"/>
    <w:rsid w:val="00DA350D"/>
    <w:rsid w:val="00DB0F15"/>
    <w:rsid w:val="00DB1A4F"/>
    <w:rsid w:val="00DC445D"/>
    <w:rsid w:val="00DD18C2"/>
    <w:rsid w:val="00DD250A"/>
    <w:rsid w:val="00DD4A63"/>
    <w:rsid w:val="00DE13B0"/>
    <w:rsid w:val="00DF2B57"/>
    <w:rsid w:val="00DF495B"/>
    <w:rsid w:val="00DF7649"/>
    <w:rsid w:val="00E05250"/>
    <w:rsid w:val="00E13186"/>
    <w:rsid w:val="00E3024E"/>
    <w:rsid w:val="00E30E72"/>
    <w:rsid w:val="00E30F04"/>
    <w:rsid w:val="00E31E69"/>
    <w:rsid w:val="00E334F7"/>
    <w:rsid w:val="00E43653"/>
    <w:rsid w:val="00E50AE6"/>
    <w:rsid w:val="00E5247D"/>
    <w:rsid w:val="00E55BD6"/>
    <w:rsid w:val="00E6556B"/>
    <w:rsid w:val="00E71248"/>
    <w:rsid w:val="00E73CC2"/>
    <w:rsid w:val="00E744C4"/>
    <w:rsid w:val="00E765ED"/>
    <w:rsid w:val="00E823A6"/>
    <w:rsid w:val="00E905DE"/>
    <w:rsid w:val="00E92941"/>
    <w:rsid w:val="00E97887"/>
    <w:rsid w:val="00EA1299"/>
    <w:rsid w:val="00EA1D63"/>
    <w:rsid w:val="00EA62E4"/>
    <w:rsid w:val="00EB2204"/>
    <w:rsid w:val="00EB58D5"/>
    <w:rsid w:val="00EC2A07"/>
    <w:rsid w:val="00EC36ED"/>
    <w:rsid w:val="00EC4E93"/>
    <w:rsid w:val="00EC7D12"/>
    <w:rsid w:val="00ED29C4"/>
    <w:rsid w:val="00ED4C72"/>
    <w:rsid w:val="00ED4DF5"/>
    <w:rsid w:val="00ED7270"/>
    <w:rsid w:val="00EE046A"/>
    <w:rsid w:val="00EE3756"/>
    <w:rsid w:val="00EF0CD2"/>
    <w:rsid w:val="00F00CC3"/>
    <w:rsid w:val="00F0637F"/>
    <w:rsid w:val="00F06A91"/>
    <w:rsid w:val="00F06E44"/>
    <w:rsid w:val="00F23FE2"/>
    <w:rsid w:val="00F35DDD"/>
    <w:rsid w:val="00F40AAA"/>
    <w:rsid w:val="00F42755"/>
    <w:rsid w:val="00F42B3F"/>
    <w:rsid w:val="00F5CB92"/>
    <w:rsid w:val="00F62A10"/>
    <w:rsid w:val="00F65DA7"/>
    <w:rsid w:val="00F6657D"/>
    <w:rsid w:val="00F70319"/>
    <w:rsid w:val="00F754F4"/>
    <w:rsid w:val="00F84190"/>
    <w:rsid w:val="00F85138"/>
    <w:rsid w:val="00FA06F9"/>
    <w:rsid w:val="00FA3201"/>
    <w:rsid w:val="00FA3DE2"/>
    <w:rsid w:val="00FB1A83"/>
    <w:rsid w:val="00FB776C"/>
    <w:rsid w:val="00FC16F1"/>
    <w:rsid w:val="00FC66CC"/>
    <w:rsid w:val="00FC7DCF"/>
    <w:rsid w:val="00FC7F0F"/>
    <w:rsid w:val="00FF238B"/>
    <w:rsid w:val="00FF6666"/>
    <w:rsid w:val="00FF6D4E"/>
    <w:rsid w:val="014FF691"/>
    <w:rsid w:val="01972487"/>
    <w:rsid w:val="01AD4F01"/>
    <w:rsid w:val="01CAC45A"/>
    <w:rsid w:val="01E2ADF8"/>
    <w:rsid w:val="02157C99"/>
    <w:rsid w:val="02305B5B"/>
    <w:rsid w:val="024965FA"/>
    <w:rsid w:val="02A14BB3"/>
    <w:rsid w:val="02C722DD"/>
    <w:rsid w:val="02C76E85"/>
    <w:rsid w:val="02E8E84D"/>
    <w:rsid w:val="0343CCC1"/>
    <w:rsid w:val="0393F06B"/>
    <w:rsid w:val="0396EE74"/>
    <w:rsid w:val="03CEC8DE"/>
    <w:rsid w:val="0421508A"/>
    <w:rsid w:val="04468F43"/>
    <w:rsid w:val="045665B4"/>
    <w:rsid w:val="049156A7"/>
    <w:rsid w:val="051EF911"/>
    <w:rsid w:val="05217AB2"/>
    <w:rsid w:val="0527988C"/>
    <w:rsid w:val="05FDB787"/>
    <w:rsid w:val="065378D6"/>
    <w:rsid w:val="06756788"/>
    <w:rsid w:val="06A13725"/>
    <w:rsid w:val="06CFC49E"/>
    <w:rsid w:val="06E2048F"/>
    <w:rsid w:val="06F81906"/>
    <w:rsid w:val="073D4B41"/>
    <w:rsid w:val="0746CEFE"/>
    <w:rsid w:val="075A53D0"/>
    <w:rsid w:val="077284C7"/>
    <w:rsid w:val="078033FF"/>
    <w:rsid w:val="07B689E2"/>
    <w:rsid w:val="080E4305"/>
    <w:rsid w:val="082814F1"/>
    <w:rsid w:val="0859C96B"/>
    <w:rsid w:val="08972149"/>
    <w:rsid w:val="08F9E34F"/>
    <w:rsid w:val="093E4C0B"/>
    <w:rsid w:val="09700314"/>
    <w:rsid w:val="09FE0634"/>
    <w:rsid w:val="0A10EC68"/>
    <w:rsid w:val="0A3EE27E"/>
    <w:rsid w:val="0A62D24F"/>
    <w:rsid w:val="0A6EA129"/>
    <w:rsid w:val="0A6F7D64"/>
    <w:rsid w:val="0A9E5F2A"/>
    <w:rsid w:val="0AD43061"/>
    <w:rsid w:val="0AE4C032"/>
    <w:rsid w:val="0B2B3E1D"/>
    <w:rsid w:val="0BB40383"/>
    <w:rsid w:val="0BEB3D4C"/>
    <w:rsid w:val="0C687BC2"/>
    <w:rsid w:val="0CB4E4D5"/>
    <w:rsid w:val="0CD7F11C"/>
    <w:rsid w:val="0D025D4B"/>
    <w:rsid w:val="0D188BAF"/>
    <w:rsid w:val="0D4D7815"/>
    <w:rsid w:val="0DAB4EDA"/>
    <w:rsid w:val="0DF26232"/>
    <w:rsid w:val="0E20D995"/>
    <w:rsid w:val="0E33137F"/>
    <w:rsid w:val="0E397A92"/>
    <w:rsid w:val="0E771531"/>
    <w:rsid w:val="0E7D06D5"/>
    <w:rsid w:val="0EA511A1"/>
    <w:rsid w:val="0EC2F5B6"/>
    <w:rsid w:val="0F0D2775"/>
    <w:rsid w:val="0F2ACF54"/>
    <w:rsid w:val="0F8B190B"/>
    <w:rsid w:val="0F955923"/>
    <w:rsid w:val="0FED2379"/>
    <w:rsid w:val="107424B9"/>
    <w:rsid w:val="109F2F93"/>
    <w:rsid w:val="10AAD3C7"/>
    <w:rsid w:val="10D7A505"/>
    <w:rsid w:val="10ED1125"/>
    <w:rsid w:val="11B74F2E"/>
    <w:rsid w:val="1207123E"/>
    <w:rsid w:val="12221316"/>
    <w:rsid w:val="1242A163"/>
    <w:rsid w:val="126A2322"/>
    <w:rsid w:val="12D28AB7"/>
    <w:rsid w:val="12E15DCD"/>
    <w:rsid w:val="134E1661"/>
    <w:rsid w:val="1392835A"/>
    <w:rsid w:val="139BD8B4"/>
    <w:rsid w:val="13B82FF3"/>
    <w:rsid w:val="13D056C5"/>
    <w:rsid w:val="13FFD7A6"/>
    <w:rsid w:val="145DEF53"/>
    <w:rsid w:val="147C598D"/>
    <w:rsid w:val="147FA12F"/>
    <w:rsid w:val="149D779D"/>
    <w:rsid w:val="14A77723"/>
    <w:rsid w:val="14B64668"/>
    <w:rsid w:val="1502991B"/>
    <w:rsid w:val="1521D8F5"/>
    <w:rsid w:val="153CE6A7"/>
    <w:rsid w:val="155CDCA0"/>
    <w:rsid w:val="160ABE72"/>
    <w:rsid w:val="16173F83"/>
    <w:rsid w:val="163B7515"/>
    <w:rsid w:val="165FF1CA"/>
    <w:rsid w:val="16D8A8A4"/>
    <w:rsid w:val="16FA3B76"/>
    <w:rsid w:val="1700D891"/>
    <w:rsid w:val="1721C227"/>
    <w:rsid w:val="17B11670"/>
    <w:rsid w:val="17D3247F"/>
    <w:rsid w:val="184B8163"/>
    <w:rsid w:val="188E210F"/>
    <w:rsid w:val="18BE9288"/>
    <w:rsid w:val="18C6977E"/>
    <w:rsid w:val="18D91D15"/>
    <w:rsid w:val="194F33A8"/>
    <w:rsid w:val="19A57EC8"/>
    <w:rsid w:val="19CB440C"/>
    <w:rsid w:val="19EB2250"/>
    <w:rsid w:val="19F2A4BA"/>
    <w:rsid w:val="1A08C10C"/>
    <w:rsid w:val="1A0FE76E"/>
    <w:rsid w:val="1A206722"/>
    <w:rsid w:val="1A4B9137"/>
    <w:rsid w:val="1A60A026"/>
    <w:rsid w:val="1A61CBC8"/>
    <w:rsid w:val="1A67BF21"/>
    <w:rsid w:val="1AC95590"/>
    <w:rsid w:val="1B0F53EA"/>
    <w:rsid w:val="1B4F4FD5"/>
    <w:rsid w:val="1B6CE123"/>
    <w:rsid w:val="1B962DA2"/>
    <w:rsid w:val="1BCC7D99"/>
    <w:rsid w:val="1C68C8B8"/>
    <w:rsid w:val="1C8FBC1B"/>
    <w:rsid w:val="1CBE1360"/>
    <w:rsid w:val="1D0CA8FE"/>
    <w:rsid w:val="1D62A3F0"/>
    <w:rsid w:val="1D7E34BB"/>
    <w:rsid w:val="1E377633"/>
    <w:rsid w:val="1E3867BF"/>
    <w:rsid w:val="1E449EE3"/>
    <w:rsid w:val="1E6BD1B1"/>
    <w:rsid w:val="1E8389AF"/>
    <w:rsid w:val="1E83E179"/>
    <w:rsid w:val="1E89CE2B"/>
    <w:rsid w:val="1E9BFDC4"/>
    <w:rsid w:val="1E9C92A4"/>
    <w:rsid w:val="1ED286F6"/>
    <w:rsid w:val="1F29E53E"/>
    <w:rsid w:val="1F6C5CF7"/>
    <w:rsid w:val="1F913F89"/>
    <w:rsid w:val="1FAEC829"/>
    <w:rsid w:val="1FBF0D22"/>
    <w:rsid w:val="1FE51FEF"/>
    <w:rsid w:val="1FEF7CFF"/>
    <w:rsid w:val="200E1760"/>
    <w:rsid w:val="20282C5C"/>
    <w:rsid w:val="20663DBE"/>
    <w:rsid w:val="20A1CEE6"/>
    <w:rsid w:val="20DD73F2"/>
    <w:rsid w:val="20F5E651"/>
    <w:rsid w:val="20FABB1D"/>
    <w:rsid w:val="2106DD37"/>
    <w:rsid w:val="216F9793"/>
    <w:rsid w:val="2172AD00"/>
    <w:rsid w:val="220A3006"/>
    <w:rsid w:val="22146D4E"/>
    <w:rsid w:val="22972B12"/>
    <w:rsid w:val="22D0BC89"/>
    <w:rsid w:val="22F99B16"/>
    <w:rsid w:val="22FCA058"/>
    <w:rsid w:val="2308B71B"/>
    <w:rsid w:val="232E554F"/>
    <w:rsid w:val="23524DA7"/>
    <w:rsid w:val="2353357E"/>
    <w:rsid w:val="2380E89D"/>
    <w:rsid w:val="23814983"/>
    <w:rsid w:val="23819350"/>
    <w:rsid w:val="23E3DD55"/>
    <w:rsid w:val="23E7C156"/>
    <w:rsid w:val="2456368F"/>
    <w:rsid w:val="24F7C643"/>
    <w:rsid w:val="251C1BBA"/>
    <w:rsid w:val="255980EC"/>
    <w:rsid w:val="257EE959"/>
    <w:rsid w:val="25825DAA"/>
    <w:rsid w:val="258D7389"/>
    <w:rsid w:val="25AEECC8"/>
    <w:rsid w:val="25B78B5A"/>
    <w:rsid w:val="25CCC50B"/>
    <w:rsid w:val="262147F7"/>
    <w:rsid w:val="26442BD8"/>
    <w:rsid w:val="272E8CDB"/>
    <w:rsid w:val="27378E71"/>
    <w:rsid w:val="27B22839"/>
    <w:rsid w:val="27E4AC22"/>
    <w:rsid w:val="2898166F"/>
    <w:rsid w:val="290C1DEE"/>
    <w:rsid w:val="2916CF7B"/>
    <w:rsid w:val="2967CD6F"/>
    <w:rsid w:val="296C5D9F"/>
    <w:rsid w:val="299B5956"/>
    <w:rsid w:val="29A1244A"/>
    <w:rsid w:val="29DA4DDC"/>
    <w:rsid w:val="2A52E796"/>
    <w:rsid w:val="2A57ED7A"/>
    <w:rsid w:val="2A81E135"/>
    <w:rsid w:val="2AA081C7"/>
    <w:rsid w:val="2ADD9824"/>
    <w:rsid w:val="2AF8EFA7"/>
    <w:rsid w:val="2AFC7504"/>
    <w:rsid w:val="2B3B5435"/>
    <w:rsid w:val="2B458184"/>
    <w:rsid w:val="2B48D645"/>
    <w:rsid w:val="2B7385C6"/>
    <w:rsid w:val="2B9EF938"/>
    <w:rsid w:val="2BB82DDB"/>
    <w:rsid w:val="2BC85EC9"/>
    <w:rsid w:val="2C0D94CA"/>
    <w:rsid w:val="2C1E9633"/>
    <w:rsid w:val="2C46AC5E"/>
    <w:rsid w:val="2C6DCB39"/>
    <w:rsid w:val="2C73D054"/>
    <w:rsid w:val="2C7B416E"/>
    <w:rsid w:val="2CC56A35"/>
    <w:rsid w:val="2CCF1D8C"/>
    <w:rsid w:val="2CFBC431"/>
    <w:rsid w:val="2D12D6FE"/>
    <w:rsid w:val="2D2C297B"/>
    <w:rsid w:val="2DC33D62"/>
    <w:rsid w:val="2E29053A"/>
    <w:rsid w:val="2E5393E7"/>
    <w:rsid w:val="2ECD3869"/>
    <w:rsid w:val="2F00A196"/>
    <w:rsid w:val="2F08622B"/>
    <w:rsid w:val="2F6E2ACC"/>
    <w:rsid w:val="2F708B2D"/>
    <w:rsid w:val="2F70B7DB"/>
    <w:rsid w:val="2F8F275E"/>
    <w:rsid w:val="30390F19"/>
    <w:rsid w:val="30594371"/>
    <w:rsid w:val="3079DC70"/>
    <w:rsid w:val="310352EB"/>
    <w:rsid w:val="310FA208"/>
    <w:rsid w:val="31402308"/>
    <w:rsid w:val="31BA4976"/>
    <w:rsid w:val="31D2883F"/>
    <w:rsid w:val="31E9D231"/>
    <w:rsid w:val="31EB21D4"/>
    <w:rsid w:val="31FECDE0"/>
    <w:rsid w:val="3208EDED"/>
    <w:rsid w:val="3215B7D7"/>
    <w:rsid w:val="3273C4FC"/>
    <w:rsid w:val="32797F0D"/>
    <w:rsid w:val="32C950F5"/>
    <w:rsid w:val="32FF3B94"/>
    <w:rsid w:val="33511FE7"/>
    <w:rsid w:val="337049B5"/>
    <w:rsid w:val="3394D9D7"/>
    <w:rsid w:val="339FFE94"/>
    <w:rsid w:val="33D0B0ED"/>
    <w:rsid w:val="3426BEF7"/>
    <w:rsid w:val="3443960E"/>
    <w:rsid w:val="34474ADA"/>
    <w:rsid w:val="34A859C8"/>
    <w:rsid w:val="34DCD52C"/>
    <w:rsid w:val="350DD4DA"/>
    <w:rsid w:val="3567D2F1"/>
    <w:rsid w:val="357DB19E"/>
    <w:rsid w:val="35D3B12E"/>
    <w:rsid w:val="366A307F"/>
    <w:rsid w:val="369DDBD5"/>
    <w:rsid w:val="36A41337"/>
    <w:rsid w:val="3724F7BD"/>
    <w:rsid w:val="3751D554"/>
    <w:rsid w:val="377BE534"/>
    <w:rsid w:val="37C00DEE"/>
    <w:rsid w:val="38004F15"/>
    <w:rsid w:val="3839740C"/>
    <w:rsid w:val="383B67F3"/>
    <w:rsid w:val="385DCB0A"/>
    <w:rsid w:val="38D44DAE"/>
    <w:rsid w:val="38F42A40"/>
    <w:rsid w:val="3933F8EA"/>
    <w:rsid w:val="398ACE76"/>
    <w:rsid w:val="398AD92A"/>
    <w:rsid w:val="39954770"/>
    <w:rsid w:val="399DAEAA"/>
    <w:rsid w:val="3A2CA24B"/>
    <w:rsid w:val="3A75A35E"/>
    <w:rsid w:val="3ADBB76D"/>
    <w:rsid w:val="3AE6B09E"/>
    <w:rsid w:val="3AFDD6BF"/>
    <w:rsid w:val="3B83F86D"/>
    <w:rsid w:val="3B8D92BC"/>
    <w:rsid w:val="3BAC7152"/>
    <w:rsid w:val="3C31508F"/>
    <w:rsid w:val="3C3C9CA4"/>
    <w:rsid w:val="3C3D72B0"/>
    <w:rsid w:val="3CBDE0BE"/>
    <w:rsid w:val="3D774223"/>
    <w:rsid w:val="3D8E4600"/>
    <w:rsid w:val="3DBA767E"/>
    <w:rsid w:val="3DEBF0C1"/>
    <w:rsid w:val="3E2B4D18"/>
    <w:rsid w:val="3E54E511"/>
    <w:rsid w:val="3E905A65"/>
    <w:rsid w:val="3E92BD9F"/>
    <w:rsid w:val="3EAED0A4"/>
    <w:rsid w:val="3EB3371C"/>
    <w:rsid w:val="3F0638BD"/>
    <w:rsid w:val="3F07E77C"/>
    <w:rsid w:val="3F4ED540"/>
    <w:rsid w:val="3FB0C051"/>
    <w:rsid w:val="3FEFBE69"/>
    <w:rsid w:val="4013A9A0"/>
    <w:rsid w:val="406CF8BE"/>
    <w:rsid w:val="409809B7"/>
    <w:rsid w:val="409C9382"/>
    <w:rsid w:val="40A2E536"/>
    <w:rsid w:val="40F9A601"/>
    <w:rsid w:val="41091888"/>
    <w:rsid w:val="414BEEE3"/>
    <w:rsid w:val="4182169B"/>
    <w:rsid w:val="41E954AC"/>
    <w:rsid w:val="41F93811"/>
    <w:rsid w:val="4268A0AB"/>
    <w:rsid w:val="42DF0C33"/>
    <w:rsid w:val="433D926E"/>
    <w:rsid w:val="434CC466"/>
    <w:rsid w:val="436B018E"/>
    <w:rsid w:val="43D5820C"/>
    <w:rsid w:val="4430F8C3"/>
    <w:rsid w:val="44426AAF"/>
    <w:rsid w:val="4460619E"/>
    <w:rsid w:val="44A922BC"/>
    <w:rsid w:val="44EBD9B7"/>
    <w:rsid w:val="45718D33"/>
    <w:rsid w:val="45862435"/>
    <w:rsid w:val="45BEB2A4"/>
    <w:rsid w:val="45D874F8"/>
    <w:rsid w:val="45FCAFFF"/>
    <w:rsid w:val="463ACC79"/>
    <w:rsid w:val="468A4D9B"/>
    <w:rsid w:val="4692ABAF"/>
    <w:rsid w:val="46D41F7E"/>
    <w:rsid w:val="4719E6FF"/>
    <w:rsid w:val="473220D4"/>
    <w:rsid w:val="47556ABE"/>
    <w:rsid w:val="476F676E"/>
    <w:rsid w:val="47B95A35"/>
    <w:rsid w:val="47D15B91"/>
    <w:rsid w:val="47E13334"/>
    <w:rsid w:val="48C2508A"/>
    <w:rsid w:val="48C72F5B"/>
    <w:rsid w:val="49649979"/>
    <w:rsid w:val="499062AA"/>
    <w:rsid w:val="49E1ADA5"/>
    <w:rsid w:val="49E23140"/>
    <w:rsid w:val="49E6D43B"/>
    <w:rsid w:val="4A0753CA"/>
    <w:rsid w:val="4A1A974F"/>
    <w:rsid w:val="4A2BF49D"/>
    <w:rsid w:val="4A511659"/>
    <w:rsid w:val="4B336859"/>
    <w:rsid w:val="4B58E48C"/>
    <w:rsid w:val="4B5C839C"/>
    <w:rsid w:val="4B73EB29"/>
    <w:rsid w:val="4B77E237"/>
    <w:rsid w:val="4BA9F4DC"/>
    <w:rsid w:val="4BB2E4BC"/>
    <w:rsid w:val="4BCAC6FF"/>
    <w:rsid w:val="4BD58228"/>
    <w:rsid w:val="4BDC4FC8"/>
    <w:rsid w:val="4C17F2FE"/>
    <w:rsid w:val="4C1C4417"/>
    <w:rsid w:val="4C3914DC"/>
    <w:rsid w:val="4C575B61"/>
    <w:rsid w:val="4C639750"/>
    <w:rsid w:val="4C832AF2"/>
    <w:rsid w:val="4C9B664E"/>
    <w:rsid w:val="4C9DFEB4"/>
    <w:rsid w:val="4CBA3BF5"/>
    <w:rsid w:val="4CC9CF4F"/>
    <w:rsid w:val="4CCF33E8"/>
    <w:rsid w:val="4D50264A"/>
    <w:rsid w:val="4D69B1C2"/>
    <w:rsid w:val="4D6D0983"/>
    <w:rsid w:val="4D9CEDF8"/>
    <w:rsid w:val="4DB9473C"/>
    <w:rsid w:val="4DC88FD0"/>
    <w:rsid w:val="4DE495AD"/>
    <w:rsid w:val="4DF18AC8"/>
    <w:rsid w:val="4EA24BF5"/>
    <w:rsid w:val="4EC5485F"/>
    <w:rsid w:val="4EEE228E"/>
    <w:rsid w:val="4F1FB89D"/>
    <w:rsid w:val="4F2B0F8E"/>
    <w:rsid w:val="4F350146"/>
    <w:rsid w:val="4F38138C"/>
    <w:rsid w:val="4F396F55"/>
    <w:rsid w:val="4F437EAF"/>
    <w:rsid w:val="4F9862D0"/>
    <w:rsid w:val="4FC01FD1"/>
    <w:rsid w:val="4FFFF92D"/>
    <w:rsid w:val="5050FF56"/>
    <w:rsid w:val="505FB384"/>
    <w:rsid w:val="50B4A915"/>
    <w:rsid w:val="50D7C970"/>
    <w:rsid w:val="514E35DE"/>
    <w:rsid w:val="51540D30"/>
    <w:rsid w:val="519AFDD8"/>
    <w:rsid w:val="51A9E878"/>
    <w:rsid w:val="521CE77D"/>
    <w:rsid w:val="5223CC52"/>
    <w:rsid w:val="5258AA95"/>
    <w:rsid w:val="526B4867"/>
    <w:rsid w:val="5280DA1E"/>
    <w:rsid w:val="535F1E6E"/>
    <w:rsid w:val="53779DBD"/>
    <w:rsid w:val="53C72D22"/>
    <w:rsid w:val="53DC7E22"/>
    <w:rsid w:val="53DDA43E"/>
    <w:rsid w:val="53DDA7C4"/>
    <w:rsid w:val="547CDE59"/>
    <w:rsid w:val="549BB7B0"/>
    <w:rsid w:val="54A67054"/>
    <w:rsid w:val="54B78441"/>
    <w:rsid w:val="55110B3C"/>
    <w:rsid w:val="55B44F92"/>
    <w:rsid w:val="560CD830"/>
    <w:rsid w:val="564AD52F"/>
    <w:rsid w:val="5655E70E"/>
    <w:rsid w:val="56A21DEC"/>
    <w:rsid w:val="56B173D2"/>
    <w:rsid w:val="56B969A7"/>
    <w:rsid w:val="56C374F3"/>
    <w:rsid w:val="56CD37C6"/>
    <w:rsid w:val="56DBB133"/>
    <w:rsid w:val="56DBD25E"/>
    <w:rsid w:val="571F4857"/>
    <w:rsid w:val="576AFC93"/>
    <w:rsid w:val="57B994AF"/>
    <w:rsid w:val="57E30F6C"/>
    <w:rsid w:val="57EEB538"/>
    <w:rsid w:val="58BD1348"/>
    <w:rsid w:val="58DE157C"/>
    <w:rsid w:val="58EE8C17"/>
    <w:rsid w:val="58F3603B"/>
    <w:rsid w:val="599F9C76"/>
    <w:rsid w:val="599FDFBE"/>
    <w:rsid w:val="59C0DFAB"/>
    <w:rsid w:val="59F8D230"/>
    <w:rsid w:val="59F97929"/>
    <w:rsid w:val="5AC2BC52"/>
    <w:rsid w:val="5ADB7D27"/>
    <w:rsid w:val="5AF6AC3D"/>
    <w:rsid w:val="5B07DC10"/>
    <w:rsid w:val="5B5C608B"/>
    <w:rsid w:val="5BA62EB1"/>
    <w:rsid w:val="5BB23486"/>
    <w:rsid w:val="5C1B9DEB"/>
    <w:rsid w:val="5C4E01E8"/>
    <w:rsid w:val="5C52E373"/>
    <w:rsid w:val="5CF1EDEC"/>
    <w:rsid w:val="5D120526"/>
    <w:rsid w:val="5D24771D"/>
    <w:rsid w:val="5D57FA89"/>
    <w:rsid w:val="5D72F99F"/>
    <w:rsid w:val="5D840F4B"/>
    <w:rsid w:val="5D8BAB09"/>
    <w:rsid w:val="5DDFAF40"/>
    <w:rsid w:val="5E7FADC9"/>
    <w:rsid w:val="5E8EAB8A"/>
    <w:rsid w:val="5EED43BA"/>
    <w:rsid w:val="5F6A2737"/>
    <w:rsid w:val="5F767455"/>
    <w:rsid w:val="5F8F27D2"/>
    <w:rsid w:val="5F9FC85D"/>
    <w:rsid w:val="5FA6F7E2"/>
    <w:rsid w:val="5FF83B54"/>
    <w:rsid w:val="5FFB812C"/>
    <w:rsid w:val="6035FC50"/>
    <w:rsid w:val="605D8C27"/>
    <w:rsid w:val="60618D0B"/>
    <w:rsid w:val="6064D671"/>
    <w:rsid w:val="60B5D5AA"/>
    <w:rsid w:val="6160E838"/>
    <w:rsid w:val="62406989"/>
    <w:rsid w:val="624FA7B9"/>
    <w:rsid w:val="62CB0CC7"/>
    <w:rsid w:val="637A2A39"/>
    <w:rsid w:val="63E6BA69"/>
    <w:rsid w:val="644200F1"/>
    <w:rsid w:val="653BD003"/>
    <w:rsid w:val="65B842AD"/>
    <w:rsid w:val="65E0A672"/>
    <w:rsid w:val="65E10E2B"/>
    <w:rsid w:val="6617630B"/>
    <w:rsid w:val="6626EB92"/>
    <w:rsid w:val="664869F9"/>
    <w:rsid w:val="6691D957"/>
    <w:rsid w:val="66F18752"/>
    <w:rsid w:val="67645B88"/>
    <w:rsid w:val="67769F0D"/>
    <w:rsid w:val="67F39E9C"/>
    <w:rsid w:val="6817AC6F"/>
    <w:rsid w:val="683F28F7"/>
    <w:rsid w:val="68677D03"/>
    <w:rsid w:val="689806C1"/>
    <w:rsid w:val="689821C6"/>
    <w:rsid w:val="68A408F5"/>
    <w:rsid w:val="692054D9"/>
    <w:rsid w:val="69800B87"/>
    <w:rsid w:val="69B1CD1C"/>
    <w:rsid w:val="69E5A0DC"/>
    <w:rsid w:val="69F79AFB"/>
    <w:rsid w:val="69F7E965"/>
    <w:rsid w:val="6A219038"/>
    <w:rsid w:val="6A81DC89"/>
    <w:rsid w:val="6AB0C490"/>
    <w:rsid w:val="6ADDE1B7"/>
    <w:rsid w:val="6BA486FA"/>
    <w:rsid w:val="6BBAC154"/>
    <w:rsid w:val="6C1B413E"/>
    <w:rsid w:val="6C7EA6F1"/>
    <w:rsid w:val="6C99345A"/>
    <w:rsid w:val="6CE4D0D6"/>
    <w:rsid w:val="6CFD50D7"/>
    <w:rsid w:val="6D0DAE01"/>
    <w:rsid w:val="6D22FCBE"/>
    <w:rsid w:val="6D239581"/>
    <w:rsid w:val="6D4E20B0"/>
    <w:rsid w:val="6D75B42E"/>
    <w:rsid w:val="6DC354C4"/>
    <w:rsid w:val="6DC671B7"/>
    <w:rsid w:val="6E516638"/>
    <w:rsid w:val="6EA19494"/>
    <w:rsid w:val="6EDD839F"/>
    <w:rsid w:val="6F7D3E19"/>
    <w:rsid w:val="6FD5889F"/>
    <w:rsid w:val="70555074"/>
    <w:rsid w:val="710B2A47"/>
    <w:rsid w:val="71142BDF"/>
    <w:rsid w:val="71300307"/>
    <w:rsid w:val="713C6DD9"/>
    <w:rsid w:val="71539DB3"/>
    <w:rsid w:val="716EC47E"/>
    <w:rsid w:val="716F8524"/>
    <w:rsid w:val="71CED64F"/>
    <w:rsid w:val="71D92C55"/>
    <w:rsid w:val="728127B4"/>
    <w:rsid w:val="72D591F1"/>
    <w:rsid w:val="72DEB5C9"/>
    <w:rsid w:val="72EAC9C9"/>
    <w:rsid w:val="72FF8B04"/>
    <w:rsid w:val="7333EA4C"/>
    <w:rsid w:val="738AD0CD"/>
    <w:rsid w:val="73943B07"/>
    <w:rsid w:val="74BC4809"/>
    <w:rsid w:val="74C47EEE"/>
    <w:rsid w:val="751D7C91"/>
    <w:rsid w:val="75B8CA66"/>
    <w:rsid w:val="75C5DE7C"/>
    <w:rsid w:val="75E69AEF"/>
    <w:rsid w:val="7666F4BE"/>
    <w:rsid w:val="76CC3EA5"/>
    <w:rsid w:val="77382833"/>
    <w:rsid w:val="776ADD15"/>
    <w:rsid w:val="7771A85B"/>
    <w:rsid w:val="777FCF29"/>
    <w:rsid w:val="783CC12B"/>
    <w:rsid w:val="78434089"/>
    <w:rsid w:val="7866E9C3"/>
    <w:rsid w:val="788B232B"/>
    <w:rsid w:val="78D7472E"/>
    <w:rsid w:val="79868DE5"/>
    <w:rsid w:val="799A2FED"/>
    <w:rsid w:val="79B2D977"/>
    <w:rsid w:val="79EBECB9"/>
    <w:rsid w:val="7A258C98"/>
    <w:rsid w:val="7AE1E03E"/>
    <w:rsid w:val="7BFC4CBB"/>
    <w:rsid w:val="7C246FCD"/>
    <w:rsid w:val="7C833482"/>
    <w:rsid w:val="7CA4BFE3"/>
    <w:rsid w:val="7CE6A115"/>
    <w:rsid w:val="7CF1E962"/>
    <w:rsid w:val="7D099FA8"/>
    <w:rsid w:val="7D20C440"/>
    <w:rsid w:val="7DA03E2C"/>
    <w:rsid w:val="7DE1DC45"/>
    <w:rsid w:val="7DF67BD6"/>
    <w:rsid w:val="7E05A7B9"/>
    <w:rsid w:val="7E36FE96"/>
    <w:rsid w:val="7E3925FA"/>
    <w:rsid w:val="7EA33A8C"/>
    <w:rsid w:val="7EB69936"/>
    <w:rsid w:val="7EBB3C77"/>
    <w:rsid w:val="7EC14CBF"/>
    <w:rsid w:val="7EC3AB95"/>
    <w:rsid w:val="7ECA03B6"/>
    <w:rsid w:val="7F8B1A53"/>
    <w:rsid w:val="7FA8F7B2"/>
    <w:rsid w:val="7FE9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48B1"/>
  <w15:chartTrackingRefBased/>
  <w15:docId w15:val="{E311AACA-3A97-48CB-9E6E-9E1D2F8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89E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1E689E"/>
  </w:style>
  <w:style w:type="character" w:styleId="Hyperlink">
    <w:name w:val="Hyperlink"/>
    <w:basedOn w:val="DefaultParagraphFont"/>
    <w:uiPriority w:val="99"/>
    <w:unhideWhenUsed/>
    <w:rsid w:val="00847A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A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hasaccess xmlns="4de793eb-5251-434f-80a1-cca66ad748f6" xsi:nil="true"/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04FE0-96CB-42C3-ADC6-DF87CAFA3568}">
  <ds:schemaRefs>
    <ds:schemaRef ds:uri="http://schemas.microsoft.com/office/2006/metadata/properties"/>
    <ds:schemaRef ds:uri="http://schemas.microsoft.com/office/infopath/2007/PartnerControls"/>
    <ds:schemaRef ds:uri="4de793eb-5251-434f-80a1-cca66ad748f6"/>
    <ds:schemaRef ds:uri="9c48dc76-cbef-4a4b-80f1-c1b30c079ce8"/>
  </ds:schemaRefs>
</ds:datastoreItem>
</file>

<file path=customXml/itemProps2.xml><?xml version="1.0" encoding="utf-8"?>
<ds:datastoreItem xmlns:ds="http://schemas.openxmlformats.org/officeDocument/2006/customXml" ds:itemID="{05E9E9CC-83B8-48A0-A90A-88CA94BF9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CE10DB-9B44-44B0-A083-49B0CB3E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793eb-5251-434f-80a1-cca66ad748f6"/>
    <ds:schemaRef ds:uri="9c48dc76-cbef-4a4b-80f1-c1b30c079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9173</TotalTime>
  <Pages>3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Dreyer</dc:creator>
  <cp:keywords/>
  <dc:description/>
  <cp:lastModifiedBy>SAPOE Officer - Ali Dreyer</cp:lastModifiedBy>
  <cp:revision>290</cp:revision>
  <dcterms:created xsi:type="dcterms:W3CDTF">2024-11-05T09:56:00Z</dcterms:created>
  <dcterms:modified xsi:type="dcterms:W3CDTF">2026-06-02T08:33:00Z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</Properties>
</file>